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36" w:rsidRPr="00FE3E36" w:rsidRDefault="00FE3E36" w:rsidP="00FE3E36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Segoe UI"/>
          <w:color w:val="000000"/>
          <w:kern w:val="36"/>
          <w:sz w:val="54"/>
          <w:szCs w:val="54"/>
        </w:rPr>
      </w:pPr>
      <w:r w:rsidRPr="00FE3E36">
        <w:rPr>
          <w:rFonts w:ascii="inherit" w:eastAsia="Times New Roman" w:hAnsi="inherit" w:cs="Segoe UI"/>
          <w:color w:val="000000"/>
          <w:kern w:val="36"/>
          <w:sz w:val="54"/>
          <w:szCs w:val="54"/>
        </w:rPr>
        <w:t>Službeni glasnik BiH, broj 16/22</w:t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Na osnovu člana 62. st. 2.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i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6. Zakona o državnoj službi u institucijama Bosne i Hercegovine ("Službeni glasnik BiH", br. 19/02, 35/03, 4/04, 26/04, 37/04, 48/05, 2/06, 32/07, 43/09, 8/10, 40/12 i 93/17), člana 98.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i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člana 99.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stav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3. Zakona o upravi ("Službeni glasnik BiH", br. 32/02, 102/09 i 72/17),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te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na osnovu člana 34. Odluke o načinu polaganja javnog i stručnog ispita ("Službeni glasnik BiH", br. 96/07, 43/10, 103/12 i 56/19), Agencija za državnu službu Bosne i Hercegovine, donosi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UPUTSTVO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O NAČINU I POSTUPKU PODNOŠENJA ELEKTRONSKE PRIJAVE KANDIDATA U POSTUPKU ZAPOŠLJAVANJA DRŽAVNIH SLUŽBENIKA U INSTITUCIJAMA BOSNE I HERCEGOVINE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DIO PRVI - UVODNI DIO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1.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(Predmet)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Ovim uputstvom propisuje se način i postupak podnošenja elektronske prijave kandidata u postupku zapošljavanja državnih službenika u institucijama Bosne i Hercegovine (u daljem tekstu: institucije BiH) putem informacionog sistema za elektronsko upravljanje procesom zapošljavanja državnih službenika (u daljem tekstu: sistem), način obavještavanja kandidata putem sistema i druga pitanja u slučajevima kada se primjenjuje elektronska prijava kandidata na oglašena radna mjesta državnih službenika u institucijama BiH, te se utvrđuju bliža pravila i uputstva za rad sa elektronskom prijavom.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2.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(Sistem)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Sistem uspostavlja, održava i unapređuje Agencija za državnu službu Bosne i Hercegovine (u daljem tekstu: Agencija).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3.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(Upotreba izraza)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Izrazi koji su radi preglednosti dati u jednom gramatičkom rodu u ovom uputstvu bez diskriminacije se odnose podjednako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oba roda, dok se u primjeni ovog uputstva, gdje je to moguće, upotrebljava </w:t>
      </w:r>
      <w:r w:rsidRPr="00FE3E36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>gender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 senzitivni jezik.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lastRenderedPageBreak/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4.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(Definicije)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Izrazi korišteni u ovom uputstvu imaju sljedeća značenja: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a) </w:t>
      </w:r>
      <w:r w:rsidRPr="00FE3E36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>sistem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 predstavlja modul informacionog sistema upravljanja ljudskim potencijalima koji omogućava elektronsku prijavu i automatizovano upravljanje prijavama kandidata u procesu zapošljavanja državnih službenika u institucije BiH;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b) </w:t>
      </w:r>
      <w:r w:rsidRPr="00FE3E36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>elektronska prijava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 kandidata u procesu zapošljavanja državnih službenika u institucijama BiH (u daljem tekstu: elektronska prijava), jeste elektronski prijavni obrazac koji sadrži sve potrebne elemente propisane u članu 7. ovog uputstva, uz koji se elektronski dostavljaju i skenirani primjerci dokumentacije kojom se dokazuje ispunjavanje opštih i posebnih uslova za oglašeno radno mjesto na koje se kandidat prijavljuje;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c) </w:t>
      </w:r>
      <w:r w:rsidRPr="00FE3E36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>korisnički profil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 je vizuelni prikaz ličnih podataka i informacija u skladu sa konfiguracionim postavkama povezanim sa korisnikom i omogućava personalizovano korištenje usluga informacionog sistema.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DIO DRUGI - PODNOŠENJE ELEKTRONSKE PRIJAVE I OBAVJEŠTAVANJE KANDIDATA PUTEM SISTEMA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5.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(Uslov za podnošenje elektronske prijave)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Uslov za podnošenje elektronske prijave u određenoj konkursnoj proceduri jeste da javni oglas bude objavljen putem sistema i da isti, pored utvrđenog sadržaja propisanog Zakonom o državnoj službi u institucijama Bosne i Hercegovine ("Službeni glasnik BiH", br. 19/02, 35/03, 4/04, 17/04, 26/04, 37/04, 48/05, 2/06, 32/07, 43/09, 8/10, 40/12 i 93/17), (u daljem tekstu: Zakon), obavezno sadrži sljedeće napomene: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a) da kandidat može podnijeti elektronsku prijavu putem sistema, za oglašena radna mjesta državnih službenika u konkretnom javnom oglasu;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b) da kandidat može povući i ponovo podnijeti elektronsku prijavu sve do isteka krajnjeg roka za prijave;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c) da kandidat koji povuče prijavu putem sistema nakon isteka krajnjeg roka za prijave gubi pravo daljnjeg učestvovanja u konkursnoj proceduri;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d) o dozvoljenom broju i veličini skeniranih verzija dokumenata kojima kandidat dokazuje ispunjavanje opštih i posebnih uslova radnog mjesta na koje se prijavljuje, a koji određuje Agencija na osnovu trenutnih tehnoloških standarda;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e) da se kandidat elektronskim putem kroz sistem informiše o vremenu, datumu i mjestu održavanja svakog od pojedinačnih ispita u konkursnoj proceduri, kao i o rezultatima istih;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lastRenderedPageBreak/>
        <w:br/>
        <w:t xml:space="preserve">f) da se kandidat upoznaje o namjeri korištenja njegovih ličnih podataka u svrhu evidentiranja i obrade njegovih prijava u bazu podataka sistema, te da prijavom daje saglasnost za takvu obradu i mjerama čuvanja i zaštite podataka iz čl. 13.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i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14.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ovog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uputstva.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g)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o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propisanim mjerama iz člana 19.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ovog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uputstva, u slučaju da kandidat koji popunjava elektronsku prijavu da lažne podatke o ispunjavanju opštih i posebnih uslova koji se traže tekstom oglasa za radno mjesto na koje se prijavljuje.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6.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(Specifičnosti primjene)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(1) Elektronska prijava kandidata može se primjenjivati i u slučaju internog oglasa, u slučaju kada je institucija BiH u kojoj je oglašeno radno mjesto saglasna, ali se odredbe o obavještavanju kandidata, propisane ovim uputstvom, neće primjenjivati na obavještenja u vezi s prijavama na interni oglas, odnosno obavještavanja kandidata u internom oglasu vrše se u skladu sa važećim propisima.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(2) Elektronska prijava kandidata može se primjenjivati i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oglase koji se raspisuju na osnovu člana 32a. Zakona, u skladu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sa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tekstom oglasa.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7.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(Sadržaj elektronske prijave)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(1) Elektronska prijava sadrži: jedinstveni matični broj kandidata, kontakt informacije kandidata (telefon, mobitel, faks</w:t>
      </w:r>
      <w:r w:rsidRPr="00FE3E36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>, e-mail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, adresu), naziv konkursa, naziv radnog mjesta iz teksta oglasa, ime, ime roditelja i prezime, djevojačko prezime, pol, obrazovanje kandidata (početak i završetak obrazovanja, zvanje/smjer, naziv visokoškolske ustanove na kojoj je stečena visoka školska sprema i njeno sjedište), podatke o nostrifikaciji/priznavanju diplome ukoliko je istu prema važećim propisima potrebno nostrificirati/priznati, ispit profesionalne nadogradnje (postojanje i vrsta ispita), nacionalnost (opciono - dobrovoljno), radno iskustvo (početak i završetak, naziv i adresa poslodavca, naziv radnog mjesta, opis radnih zadataka, ukupan period radnog angažmana, broj podređenih, razlozi napuštanja posla), ukupno radno iskustvo nakon sticanja visokog obrazovanja, podatke o poznavanju stranih jezika (naziv jezika, govor, čitanje i pisanje), podatke o poznavanju rada na računaru, eventualnu napomenu za kandidate, izjave kojim kandidat potvrđuje ispunjavanje opštih i posebnih uslova za postavljenje na konkretno radno mjesto državnog službenika, saglasnost za obradu svih navedenih ličnih podataka, saglasnost o načinu obavještavanja, izjavu da podaci u obrascu sami za sebe ne predstavljaju dokaz.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(2) Prilikom odabira radnog mjesta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koji se kandidat želi prijaviti, sistem kandidatu dodatno prezentira organizacionu jedinicu radnog mjesta, naziv radnog mjesta, opis poslova i radnih zadataka, posebne uslove, predviđeni broj izvršilaca, mjesto rada i neto platu.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(3) Odabir radnog mjesta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koje se kandidat prijavljuje omogućen je samo nakon što kandidat elektronski potvrdi da zadovoljava svaki pojedinačni posebni uslov za to radno mjesto. Ovim kandidat daje izjavu da je detaljno upoznat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sa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svakim posebnim uslovom navedenog radnog mjesta te odgovorno izjavljuje da ih sve zadovoljava.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lastRenderedPageBreak/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8.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(Registracija korisnika sistema)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(1) Elektronska prijava kandidata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oglašeno radno mjesto državnog službenika moguća je samo za registrovane korisnike sistema, na kojem je i objavljen tekst javnog oglasa.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(2) Registracija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sistem je proces u kojem korisnik sam upisuje svoju </w:t>
      </w:r>
      <w:r w:rsidRPr="00FE3E36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>e-mail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 adresu i šifru za pristup sistemu, za čiju tačnost odgovara. U cilju potvrde vlasništva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nad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upisanom e-mail adresom, sistem šalje </w:t>
      </w:r>
      <w:r w:rsidRPr="00FE3E36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>e-mail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 sa aktivacijskim kodom koji korisnik mora otvoriti kako bi potvrdio unos ispravne </w:t>
      </w:r>
      <w:r w:rsidRPr="00FE3E36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>e-mail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 adrese.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9.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(Način podnošenja elektronske prijave kandidata)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(1) Prije prijave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jedno ili više oglašenih radnih mjesta, registrovani korisnik popunjava minimum obaveznih podataka na svom korisničkom profilu: jedinstveni matični broj, ime i prezime, broj mobilnog telefona za obavještenja, </w:t>
      </w:r>
      <w:r w:rsidRPr="00FE3E36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>e-mail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 za obavještenja i poštansku adresu. Korisnički profil odgovara sadržaju elektronske prijave i svi podaci uneseni u korisnički profil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će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biti preneseni u elektronsku prijavu za konkretno radno mjesto.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(2) Odabirom linka za elektronsku prijavu koji se nalazi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stranici sa tekstom javnog oglasa, kandidatu se prezentira elektronska prijava koju kandidat popunjava, potpisuje upisivanjem imena i prezimena u za to predviđeno polje te podnosi odabirom opcije za podnošenje prijave.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(3) Uz popunjenu elektronsku prijavu, kandidat u sistem postavlja skenirane primjerke dokumentacije kojom dokazuje ispunjavanje opštih i posebnih uslova za radno mjesto, u skladu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sa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tekstom oglasa.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(4) Prijava kandidata koja nije podnesena u skladu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sa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uslovima iz ovog uputstva, kao i prijava kandidata koji ne ispunjava propisane i utvrđene uslove će se odbaciti, o čemu će se kandidat obavijestiti u skladu sa odredbama ovog uputstva.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10.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(Način povlačenja elektronske prijave kandidata)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(1) Prijavljeni kandidat za radno mjesto državnog službenika može povući svoju prijavu kroz sistem u odjeljku korisničkog profila u kojem se vodi evidencija o svim prijavama kandidata.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(2) U slučaju povlačenja prijave prije isteka krajnjeg roka za prijave, kandidat se može ponovo prijaviti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isto ili drugo oglašeno radno mjesto. U slučaju da je krajnji rok za prijave kandidata istekao, povlačenje prijave podrazumijeva dobrovoljno istupanje kandidata iz daljnje procedure popunjavanja oglašenog radnog mjesta državnog službenika.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lastRenderedPageBreak/>
        <w:t>Član 11.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(Obavještavanje kandidata o prihvatanju prijave, terminima i statusu)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(1) Obavještavanje kandidata o formalnom prihvatanju njegove prijave, datumu, vremenu i mjestu polaganja sistem vrši slanjem SMS poruke i elektronskom poštom. Termin polaganja ispita se dodatno objavljuje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javnom dijelu sistema.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(2) Eventualna obavještenja o poništenju oglasa za pojedina radna mjesta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ili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u cjelini, otkazivanju ispita ili jednog njegovog termina, promjeni rasporeda polaganja ispita, te druga obavještenja vezana za status prijave kandidata i oglasa, također se dostavljaju kandidatu navedenim kanalima komunikacije (SMS poruka, elektronska pošta i </w:t>
      </w:r>
      <w:r w:rsidRPr="00FE3E36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>web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 aplikacija).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(3) Pregled sadržaja svih obavještenja koji su kreirani i dostavljeni putem sistema dostupan je kandidatu u njegovom korisničkom profilu, gdje su prikazani po konkursu, nazivu komisije, tipu obavještenja i ispitu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koji se odnosi.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(4) Nakon razvoja aplikacije za mobilne uređaje, kandidat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će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obavještenja primati i putem odgovarajuće </w:t>
      </w:r>
      <w:r w:rsidRPr="00FE3E36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>push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 notifikacije, koja će mu biti isporučena bez obzira da li trenutno koristi mobilnu aplikaciju sistema ili mobilni uređaj, ukoliko je isti uključen i ima pristup internetu.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12.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(Obavještenje kandidatu o odbacivanju prijave i rezultatima)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(1) Obavještenje o odbacivanju prijave kandidata, o rezultatima ispita i o plasmanu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listi uspješnih kandidata, kao i druga obavještenja u odnosu na koja kandidat ima pravo žalbe, dostavljaju se kandidatu isključivo u elektronskoj formi na </w:t>
      </w:r>
      <w:r w:rsidRPr="00FE3E36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>e-mail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 adresu unesenu u postupku registracije.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(2) Sva obavještenja iz stava (1) ovog člana dostupna su kandidatima u sistemu, koja sistem šalje putem SMS poruke i elektronskom poštom.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(3) Elektronski dokument kojim se obavještavanje obavlja ima sve elemente koje ima identični dokument štampan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papiru, osim potpisa i pečata.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(4) Umjesto potpisa i pečata, elektronski dokument iz stava (3) ovog člana sadrži sigurni elektronski potpis Agencije, odnosno ovlaštenog lica, ovjeren kvalificiranom potvrdom, koji elektronski potpis po relevantnim propisima ima snagu elektronskog pečata.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DIO TREĆI - PRISTUP, KORIŠTENJE I ČUVANJE PODATAKA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13.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(Pristup, korištenje i obrada podataka)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lastRenderedPageBreak/>
        <w:t xml:space="preserve">(1) Prava pristupa podacima koja se dodjeljuju korisnicima sistema ograničena su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djelokrug poslova radnog mjesta na koje se korisnik prijavljuje, što znači da korisnik kao kandidat za radno mjesto državnog službenika ima pravo pristupa odnosno neposrednog uvida samo u podatke koji se na njega odnose.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(2) Kandidat ima pravo uvida u imena i prezimena kandidata u rasporedima polaganja i rezultatima ispita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kojima učestvuje, u skladu sa Odlukom o načinu polaganja javnog i stručnog ispita, neovisno o stavu (1) ovog člana.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(3) Sekretar Komisije za izbor državnih službenika u instituciji (u daljem tekstu: Komisija za izbor), obrađuje podatke o prijavljenim kandidatima, u skladu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sa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podzakonskim aktima koji uređuju oblast provođenja konkursnih procedura za zapošljavanje državnih službenika u institucije.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(4) Zaposleni u Agenciji imaju pravo pristupa sistemu u svrhu obavljanja administrativnih radnji iz nadležnosti Agencije, i to: objave konkursa, formiranja Komisija za izbor, upravljanja listom eksperata, vođenja evidencija o postavljenjima i razrješenjima državnih službenika, vođenja rezervnih listi kandidata, vođenje evidencija o izjavljenim žalbama, kreiranja i generisanja izvještaja, te administracije šifarnika i postavki sistema, a u skladu sa važećim propisima koji regulišu oblast zapošljavanja u državnu službu.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(5) Članovi komisije imaju pravo pristupa podacima koji su im potrebni za izvršavanje njihovih propisanih obaveza (prijave kandidata).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14.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(Čuvanje podataka)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(1) Podnošenjem prijave kandidat daje izričitu saglasnost da Agencija može obraditi njegove lične podatke u svrhu evidentiranja i obrade prijave u bazu podataka sistema.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(2) Obrada ličnih podataka kandidata obuhvata pravo Agencije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prikupljanje, spremanje, snimanje, organizovanje, uvid i korištenje ličnih podataka u svrhu obavljanja svojih redovnih poslova vezano za provođenje konkursnih procedura zapošljavanja državnih službenika.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(3) Lični podaci kandidata vidljivi su korisnicima sistema 12 mjeseci nakon datuma postavljenja izabranog kandidata, odnosno do prestanka rezervne liste ako kandidati nisu izabrani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poziciju, u skladu sa članom 28.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stav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(4), a u vezi sa članom 29.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stav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(1) Zakona, u depersonaliziranom formatu, radi mogućnosti analitičkog izvještavanja i čuvaju se na neodređeni period.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(4) Ukoliko je izjavljena žalba u konkursnoj proceduri, rok iz stava (3) ovog člana prolongira se do okončanja svih postupaka.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15.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(Zaštita podataka)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 pohranjivanje i zaštitu podataka u sistemu primjenjuju se propisi kojima se uređuju organizacijske i tehničke mjere zaštite integriteta, povjerljivosti i dostupnosti podataka, i informacione sigurnosti.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lastRenderedPageBreak/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16.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(Provjera autentičnosti dokumenata prijave kandidata)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(1) Originale dokumentacije iz člana 9.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stav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(3) kandidat koji se postavlja odnosno kvalifikuje za imenovanje za radno mjesto državnog službenika, dostavlja Agenciji nakon intervjua a prije postavljenja, odnosno dostavljanja mišljenja nadležnoj instituciji.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(2) Agencija provjerava vjerodostojnost dokumenata dostavljenih u skladu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sa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članom 9.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stav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(3), u smislu toga da su elektronski dostavljeni dokumenti vjerni originalima.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(3) Nakon izvršenog postavljenja, odnosno imenovanja, Agencija originalne dokumente predočene shodno stavu (2) ovog člana, dostavlja instituciji BiH radi formiranja personalnog dosijea.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DIO ČETVRTI - PRELAZNE I ZAVRŠNE ODREDBE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17.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(Primjena ostalih propisa)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(1) U svemu što nije propisano ovim uputstvom primjenjuju se odredbe Odluke o načinu polaganja javnog i stručnog ispita ("Službeni glasnik BiH", br. 96/07, 43/10, 103/12 i 56/19).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(2) U pogledu pravnog regulisanja elektronskog poslovanja, u svemu što nije propisano ovim uputstvom, shodno se primjenjuju Zakon o elektronskom potpisu ("Službeni glasnik BiH", broj 91/06), Zakon o elektronskom pravnom i poslovnom prometu ("Službeni glasnik BiH", broj 88/07) i Zakon o elektronskom dokumentu ("Službeni glasnik BiH", broj 58/14).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18.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(Način obavještavanja do primjene elektronskog potpisa)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Dok Agencija ne omogući dostavljanje pismenih obavještenja potpisanih kvalificiranim elektronskim potpisom svojih službenih lica iz člana 12.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stav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(3) ovog uputstva, kandidat se elektronski obavještava tako što mu se u prilogu elektronske pošte dostavlja elektronsko obavještenje sa skeniranim potpisom ovlaštenog lica i skeniranim pečatom Agencije. Obavještenje je primljeno onog momenta kada </w:t>
      </w:r>
      <w:r w:rsidRPr="00FE3E36">
        <w:rPr>
          <w:rFonts w:ascii="Segoe UI" w:eastAsia="Times New Roman" w:hAnsi="Segoe UI" w:cs="Segoe UI"/>
          <w:i/>
          <w:iCs/>
          <w:color w:val="000000"/>
          <w:sz w:val="20"/>
          <w:szCs w:val="20"/>
        </w:rPr>
        <w:t>e-mail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 server kod kojeg kandidat ima otvorenu adresu elektronske pošte potvrdi prijem, bez obzira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to da li je i kada kandidat ostvario uvid u navedeno priloženo obavještenje.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19.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(Suspenzija i pravo žalbe)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lastRenderedPageBreak/>
        <w:t xml:space="preserve">(1) Kandidat koji prilikom popunjavanja elektronske prijave iz člana 7.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ovog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uputstva da lažne podatke o ispunjavanju opštih i propisanih posebnih uslova za radno mjesto državnog službenika na koje se elektronski prijavljuje ili dostavi odskenirane dokumente na kojima je izvršena digitalna modifikacija originalnog sadržaja, suspenduje se sa konkursnih procedura u periodu od naredne dvije godine, o čemu rješenje donosi Agencija.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(2) Ukoliko se činjenica iz stava (1) ovog člana utvrdi prilikom provjere vjerodostojnosti dokumenata (član 16. ovog uputstva), posebnim rješenjem Agencije se izborni proces takvog kandidata proglašava nevažećim, prijava se odbacuje, a postupak postavljenja, odnosno imenovanja, obustavlja.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(3) Protiv rješenja iz st. (1) i (2) može se izjaviti žalba Odboru državne službe za žalbe u roku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od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osam dana od dana prijema rješenja, u skladu sa članom 63. Zakona o državnoj službi u institucijama Bosne i Hercegovine.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(4) Kandidat iz stava (1) može odgovarati i krivično, u skladu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sa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krivičnim zakonodavstvom u Bosni i Hercegovini.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20.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(Produženje roka za prijavu)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U slučaju nefunkcionisanja sistema više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od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24 sata, rok za prijavu se produžava za onoliko dana koliko sistem nije funkcionisao, a najmanje za jedan dan. Ovo produženje objavljuje se kao izmjena oglasa.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21.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(Važenje uputstva)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Ovo uputstvo važit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će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sve dok ovo pitanje ne bude regulisano od strane Vijeća ministara Bosne i Hercegovine.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Član 22.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(Stupanje </w:t>
      </w:r>
      <w:proofErr w:type="gramStart"/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 snagu)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Ovo uputstvo stupa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na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snagu osmog dana od dana objavljivanja u "Službenom glasniku BiH", a počet će se primjenjivati najkasnije šest mjeseci od dana stupanja na snagu.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Broj 05-02-2-1104-22/20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15.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marta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 xml:space="preserve"> 2022. </w:t>
      </w:r>
      <w:proofErr w:type="gramStart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godine</w:t>
      </w:r>
      <w:proofErr w:type="gramEnd"/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Sarajevo</w:t>
      </w:r>
    </w:p>
    <w:p w:rsidR="00FE3E36" w:rsidRPr="00FE3E36" w:rsidRDefault="00FE3E36" w:rsidP="00FE3E3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  <w:t>Direktor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br/>
      </w:r>
      <w:r w:rsidRPr="00FE3E3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Neven Akšamija</w:t>
      </w:r>
      <w:r w:rsidRPr="00FE3E36">
        <w:rPr>
          <w:rFonts w:ascii="Segoe UI" w:eastAsia="Times New Roman" w:hAnsi="Segoe UI" w:cs="Segoe UI"/>
          <w:color w:val="000000"/>
          <w:sz w:val="20"/>
          <w:szCs w:val="20"/>
        </w:rPr>
        <w:t>, s. r.</w:t>
      </w:r>
    </w:p>
    <w:p w:rsidR="00D51BE9" w:rsidRDefault="00D51BE9">
      <w:bookmarkStart w:id="0" w:name="_GoBack"/>
      <w:bookmarkEnd w:id="0"/>
    </w:p>
    <w:sectPr w:rsidR="00D51B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MTA3NTAyMTQxNLNQ0lEKTi0uzszPAykwrAUAe0Mt2CwAAAA="/>
  </w:docVars>
  <w:rsids>
    <w:rsidRoot w:val="00FE3E36"/>
    <w:rsid w:val="00D51BE9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5B3D2-92B6-4E09-9E8D-16C46709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3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E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center">
    <w:name w:val="text-center"/>
    <w:basedOn w:val="Normal"/>
    <w:rsid w:val="00FE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3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6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Aldijana Gušić</dc:creator>
  <cp:keywords/>
  <dc:description/>
  <cp:lastModifiedBy>Aldijana Gušić</cp:lastModifiedBy>
  <cp:revision>1</cp:revision>
  <dcterms:created xsi:type="dcterms:W3CDTF">2022-03-28T11:32:00Z</dcterms:created>
  <dcterms:modified xsi:type="dcterms:W3CDTF">2022-03-28T11:34:00Z</dcterms:modified>
</cp:coreProperties>
</file>