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09B4F6DD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bookmarkStart w:id="0" w:name="_Hlk175640575"/>
      <w:bookmarkStart w:id="1" w:name="_Hlk155858763"/>
      <w:r w:rsidR="00D77600" w:rsidRPr="00D77600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="00D77600">
        <w:rPr>
          <w:rFonts w:ascii="Arial" w:eastAsia="Calibri" w:hAnsi="Arial" w:cs="Arial"/>
          <w:sz w:val="20"/>
          <w:szCs w:val="20"/>
          <w:lang w:val="bs-Latn-BA"/>
        </w:rPr>
        <w:t>Službe za poslove sa strancima</w:t>
      </w:r>
      <w:bookmarkEnd w:id="0"/>
      <w:bookmarkEnd w:id="1"/>
      <w:r w:rsidR="00990702" w:rsidRPr="003B34B2">
        <w:rPr>
          <w:rFonts w:ascii="Arial" w:hAnsi="Arial" w:cs="Arial"/>
          <w:sz w:val="20"/>
          <w:szCs w:val="20"/>
          <w:lang w:val="hr-HR"/>
        </w:rPr>
        <w:t>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5F446685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2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D77600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ih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mjesta državn</w:t>
      </w:r>
      <w:r w:rsidR="00D77600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ih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43DA4FF3" w14:textId="025A7362" w:rsidR="00D02D0F" w:rsidRPr="003B34B2" w:rsidRDefault="00990702" w:rsidP="00D7760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3" w:name="_Hlk154744091"/>
      <w:bookmarkEnd w:id="2"/>
      <w:r w:rsidR="00D7760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Službi za poslove sa strancima</w:t>
      </w:r>
      <w:bookmarkEnd w:id="3"/>
      <w:r w:rsidR="00D7760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D77600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C6A0ABB" w14:textId="32379C86" w:rsidR="00D77600" w:rsidRPr="005E7EAE" w:rsidRDefault="00C51CD8" w:rsidP="00D77600">
      <w:pPr>
        <w:rPr>
          <w:rFonts w:ascii="Arial" w:hAnsi="Arial" w:cs="Arial"/>
          <w:b/>
          <w:bCs/>
          <w:sz w:val="20"/>
          <w:szCs w:val="20"/>
          <w:lang w:eastAsia="hr-HR"/>
        </w:rPr>
      </w:pPr>
      <w:bookmarkStart w:id="4" w:name="_Hlk146874225"/>
      <w:r w:rsidRPr="005E7EAE">
        <w:rPr>
          <w:rFonts w:ascii="Arial" w:hAnsi="Arial" w:cs="Arial"/>
          <w:b/>
          <w:bCs/>
          <w:sz w:val="20"/>
          <w:szCs w:val="20"/>
        </w:rPr>
        <w:t>1/</w:t>
      </w:r>
      <w:bookmarkStart w:id="5" w:name="_Hlk156463156"/>
      <w:bookmarkStart w:id="6" w:name="_Hlk159422765"/>
      <w:r w:rsidR="00D77600" w:rsidRPr="005E7EAE">
        <w:rPr>
          <w:rFonts w:ascii="Arial" w:hAnsi="Arial" w:cs="Arial"/>
          <w:b/>
          <w:bCs/>
          <w:sz w:val="20"/>
          <w:szCs w:val="20"/>
        </w:rPr>
        <w:t>01</w:t>
      </w:r>
      <w:bookmarkStart w:id="7" w:name="_Hlk159422120"/>
      <w:r w:rsidR="00D77600"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 </w:t>
      </w:r>
      <w:bookmarkStart w:id="8" w:name="_Hlk180402082"/>
      <w:r w:rsidR="00D77600"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Šef Terenskog centra </w:t>
      </w:r>
      <w:bookmarkEnd w:id="8"/>
    </w:p>
    <w:p w14:paraId="3B2A9747" w14:textId="77777777" w:rsidR="00D77600" w:rsidRPr="005E7EAE" w:rsidRDefault="00D77600" w:rsidP="00D77600">
      <w:pPr>
        <w:rPr>
          <w:rFonts w:ascii="Arial" w:hAnsi="Arial" w:cs="Arial"/>
          <w:b/>
          <w:bCs/>
          <w:sz w:val="20"/>
          <w:szCs w:val="20"/>
          <w:lang w:eastAsia="hr-HR"/>
        </w:rPr>
      </w:pPr>
      <w:r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1/02 Šef Terenskog centra </w:t>
      </w:r>
    </w:p>
    <w:p w14:paraId="6BFA55A2" w14:textId="3D2B06FC" w:rsidR="00D77600" w:rsidRPr="005E7EAE" w:rsidRDefault="00D77600" w:rsidP="00D77600">
      <w:pPr>
        <w:rPr>
          <w:rFonts w:ascii="Arial" w:hAnsi="Arial" w:cs="Arial"/>
          <w:b/>
          <w:bCs/>
          <w:sz w:val="20"/>
          <w:szCs w:val="20"/>
          <w:lang w:eastAsia="hr-HR"/>
        </w:rPr>
      </w:pPr>
      <w:r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1/03 Šef </w:t>
      </w:r>
      <w:r w:rsidR="005C3DC7">
        <w:rPr>
          <w:rFonts w:ascii="Arial" w:hAnsi="Arial" w:cs="Arial"/>
          <w:b/>
          <w:bCs/>
          <w:sz w:val="20"/>
          <w:szCs w:val="20"/>
          <w:lang w:eastAsia="hr-HR"/>
        </w:rPr>
        <w:t>Odjel</w:t>
      </w:r>
      <w:r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a za pravne i kadrovske poslove </w:t>
      </w:r>
    </w:p>
    <w:p w14:paraId="7DB415B1" w14:textId="1BE084C3" w:rsidR="00D77600" w:rsidRPr="005E7EAE" w:rsidRDefault="00D77600" w:rsidP="00D77600">
      <w:pPr>
        <w:rPr>
          <w:rFonts w:ascii="Arial" w:hAnsi="Arial" w:cs="Arial"/>
          <w:b/>
          <w:bCs/>
          <w:sz w:val="20"/>
          <w:szCs w:val="20"/>
        </w:rPr>
      </w:pPr>
      <w:r w:rsidRPr="005E7EAE">
        <w:rPr>
          <w:rFonts w:ascii="Arial" w:hAnsi="Arial" w:cs="Arial"/>
          <w:b/>
          <w:bCs/>
          <w:sz w:val="20"/>
          <w:szCs w:val="20"/>
          <w:lang w:eastAsia="hr-HR"/>
        </w:rPr>
        <w:t xml:space="preserve">1/04 </w:t>
      </w:r>
      <w:r w:rsidRPr="005E7EAE">
        <w:rPr>
          <w:rFonts w:ascii="Arial" w:hAnsi="Arial" w:cs="Arial"/>
          <w:b/>
          <w:sz w:val="20"/>
          <w:szCs w:val="20"/>
          <w:lang w:eastAsia="hr-HR"/>
        </w:rPr>
        <w:t xml:space="preserve">Viši stručni </w:t>
      </w:r>
      <w:r w:rsidR="005C3DC7">
        <w:rPr>
          <w:rFonts w:ascii="Arial" w:hAnsi="Arial" w:cs="Arial"/>
          <w:b/>
          <w:sz w:val="20"/>
          <w:szCs w:val="20"/>
          <w:lang w:eastAsia="hr-HR"/>
        </w:rPr>
        <w:t>suradnik</w:t>
      </w:r>
      <w:r w:rsidRPr="005E7EAE">
        <w:rPr>
          <w:rFonts w:ascii="Arial" w:hAnsi="Arial" w:cs="Arial"/>
          <w:b/>
          <w:sz w:val="20"/>
          <w:szCs w:val="20"/>
          <w:lang w:eastAsia="hr-HR"/>
        </w:rPr>
        <w:t xml:space="preserve"> za </w:t>
      </w:r>
      <w:r w:rsidR="00413E6A">
        <w:rPr>
          <w:rFonts w:ascii="Arial" w:hAnsi="Arial" w:cs="Arial"/>
          <w:b/>
          <w:sz w:val="20"/>
          <w:szCs w:val="20"/>
          <w:lang w:eastAsia="hr-HR"/>
        </w:rPr>
        <w:t>proračun</w:t>
      </w:r>
      <w:r w:rsidRPr="005E7EAE">
        <w:rPr>
          <w:rFonts w:ascii="Arial" w:hAnsi="Arial" w:cs="Arial"/>
          <w:b/>
          <w:sz w:val="20"/>
          <w:szCs w:val="20"/>
          <w:lang w:eastAsia="hr-HR"/>
        </w:rPr>
        <w:t xml:space="preserve">, planiranje i </w:t>
      </w:r>
      <w:r w:rsidR="00413E6A">
        <w:rPr>
          <w:rFonts w:ascii="Arial" w:hAnsi="Arial" w:cs="Arial"/>
          <w:b/>
          <w:sz w:val="20"/>
          <w:szCs w:val="20"/>
          <w:lang w:eastAsia="hr-HR"/>
        </w:rPr>
        <w:t>izvješće</w:t>
      </w:r>
    </w:p>
    <w:bookmarkEnd w:id="7"/>
    <w:p w14:paraId="00B13299" w14:textId="77777777" w:rsidR="00D77600" w:rsidRDefault="00D77600" w:rsidP="00D77600">
      <w:pPr>
        <w:rPr>
          <w:rFonts w:ascii="Arial" w:hAnsi="Arial" w:cs="Arial"/>
          <w:bCs/>
          <w:sz w:val="20"/>
          <w:szCs w:val="20"/>
        </w:rPr>
      </w:pPr>
    </w:p>
    <w:p w14:paraId="0576C835" w14:textId="77777777" w:rsidR="000F5F2D" w:rsidRPr="005E7EAE" w:rsidRDefault="000F5F2D" w:rsidP="00D77600">
      <w:pPr>
        <w:rPr>
          <w:rFonts w:ascii="Arial" w:hAnsi="Arial" w:cs="Arial"/>
          <w:bCs/>
          <w:sz w:val="20"/>
          <w:szCs w:val="20"/>
        </w:rPr>
      </w:pPr>
    </w:p>
    <w:p w14:paraId="04F698C7" w14:textId="3489210B" w:rsidR="001145F9" w:rsidRPr="00EC6EC5" w:rsidRDefault="00D77600" w:rsidP="00D77600">
      <w:pPr>
        <w:rPr>
          <w:rFonts w:ascii="Arial" w:hAnsi="Arial" w:cs="Arial"/>
          <w:bCs/>
          <w:sz w:val="20"/>
          <w:szCs w:val="20"/>
        </w:rPr>
      </w:pPr>
      <w:r w:rsidRPr="00EC6EC5">
        <w:rPr>
          <w:rFonts w:ascii="Arial" w:hAnsi="Arial" w:cs="Arial"/>
          <w:bCs/>
          <w:sz w:val="20"/>
          <w:szCs w:val="20"/>
        </w:rPr>
        <w:t>Terenski centar Goražde</w:t>
      </w:r>
    </w:p>
    <w:p w14:paraId="7C7DC82D" w14:textId="77777777" w:rsidR="001145F9" w:rsidRPr="00EC6EC5" w:rsidRDefault="001145F9" w:rsidP="00C51C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33139" w14:textId="780D7106" w:rsidR="00C51CD8" w:rsidRPr="00EC6EC5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6EC5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5"/>
      <w:r w:rsidR="00D77600" w:rsidRPr="00EC6EC5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Šef Terenskog centra</w:t>
      </w:r>
    </w:p>
    <w:bookmarkEnd w:id="4"/>
    <w:p w14:paraId="643FD5A8" w14:textId="0B7C9F32" w:rsidR="00D02D0F" w:rsidRPr="00EC6EC5" w:rsidRDefault="00D02D0F" w:rsidP="00C51CD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C6EC5">
        <w:rPr>
          <w:rFonts w:ascii="Arial" w:hAnsi="Arial" w:cs="Arial"/>
          <w:b/>
          <w:sz w:val="20"/>
          <w:szCs w:val="20"/>
        </w:rPr>
        <w:t>Opis poslova i radnih zadataka</w:t>
      </w:r>
      <w:r w:rsidRPr="00EC6EC5">
        <w:rPr>
          <w:rFonts w:ascii="Arial" w:hAnsi="Arial" w:cs="Arial"/>
          <w:sz w:val="20"/>
          <w:szCs w:val="20"/>
        </w:rPr>
        <w:t>:</w:t>
      </w:r>
      <w:r w:rsidR="00E975DC" w:rsidRPr="00EC6EC5">
        <w:rPr>
          <w:rFonts w:ascii="Arial" w:hAnsi="Arial" w:cs="Arial"/>
          <w:sz w:val="20"/>
          <w:szCs w:val="20"/>
        </w:rPr>
        <w:t xml:space="preserve"> 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Rukovodi </w:t>
      </w:r>
      <w:r w:rsidR="00413E6A">
        <w:rPr>
          <w:rFonts w:ascii="Arial" w:hAnsi="Arial" w:cs="Arial"/>
          <w:sz w:val="20"/>
          <w:szCs w:val="20"/>
          <w:lang w:eastAsia="hr-HR"/>
        </w:rPr>
        <w:t>organizacijsko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m jedinicom i obezbje</w:t>
      </w:r>
      <w:r w:rsidR="00413E6A">
        <w:rPr>
          <w:rFonts w:ascii="Arial" w:hAnsi="Arial" w:cs="Arial"/>
          <w:sz w:val="20"/>
          <w:szCs w:val="20"/>
          <w:lang w:eastAsia="hr-HR"/>
        </w:rPr>
        <w:t>đ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uje zakonito, transparentno, javno, odgovorno, efikasno, ekonomično i nepristrasno izvršavanje poslova; koordinira rad uposlenih u Terenskom centru, daje neposredne zadatke stručnim savjetnicima, stručnim s</w:t>
      </w:r>
      <w:r w:rsidR="00413E6A">
        <w:rPr>
          <w:rFonts w:ascii="Arial" w:hAnsi="Arial" w:cs="Arial"/>
          <w:sz w:val="20"/>
          <w:szCs w:val="20"/>
          <w:lang w:eastAsia="hr-HR"/>
        </w:rPr>
        <w:t>u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radnicima i ostalim </w:t>
      </w:r>
      <w:r w:rsidR="00413E6A">
        <w:rPr>
          <w:rFonts w:ascii="Arial" w:hAnsi="Arial" w:cs="Arial"/>
          <w:sz w:val="20"/>
          <w:szCs w:val="20"/>
          <w:lang w:eastAsia="hr-HR"/>
        </w:rPr>
        <w:t>uposlenim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u Terenskom centru i pomaže im u izvršavanju složenijih radnih zadataka (izrada i analiza pojedinačnih i op</w:t>
      </w:r>
      <w:r w:rsidR="00413E6A">
        <w:rPr>
          <w:rFonts w:ascii="Arial" w:hAnsi="Arial" w:cs="Arial"/>
          <w:sz w:val="20"/>
          <w:szCs w:val="20"/>
          <w:lang w:eastAsia="hr-HR"/>
        </w:rPr>
        <w:t>ć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ih akata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a, informacija, prijedloga zakonskih akata i sl), kordinira i </w:t>
      </w:r>
      <w:r w:rsidR="00963747">
        <w:rPr>
          <w:rFonts w:ascii="Arial" w:hAnsi="Arial" w:cs="Arial"/>
          <w:sz w:val="20"/>
          <w:szCs w:val="20"/>
          <w:lang w:eastAsia="hr-HR"/>
        </w:rPr>
        <w:t>s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provodi obv</w:t>
      </w:r>
      <w:r w:rsidR="00963747">
        <w:rPr>
          <w:rFonts w:ascii="Arial" w:hAnsi="Arial" w:cs="Arial"/>
          <w:sz w:val="20"/>
          <w:szCs w:val="20"/>
          <w:lang w:eastAsia="hr-HR"/>
        </w:rPr>
        <w:t>e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ze iz Zakona o ketanju boravku stranaca i azilu, Zakona o službi za poslove sa strancima i drugih propisa u BiH; donosi odluke za koje je ovlaš</w:t>
      </w:r>
      <w:r w:rsidR="00413E6A">
        <w:rPr>
          <w:rFonts w:ascii="Arial" w:hAnsi="Arial" w:cs="Arial"/>
          <w:sz w:val="20"/>
          <w:szCs w:val="20"/>
          <w:lang w:eastAsia="hr-HR"/>
        </w:rPr>
        <w:t>ćen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posebnim rješenjem </w:t>
      </w:r>
      <w:r w:rsidR="00413E6A">
        <w:rPr>
          <w:rFonts w:ascii="Arial" w:hAnsi="Arial" w:cs="Arial"/>
          <w:sz w:val="20"/>
          <w:szCs w:val="20"/>
          <w:lang w:eastAsia="hr-HR"/>
        </w:rPr>
        <w:t>ravnatelja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; sačinjava planove i </w:t>
      </w:r>
      <w:r w:rsidR="00413E6A">
        <w:rPr>
          <w:rFonts w:ascii="Arial" w:hAnsi="Arial" w:cs="Arial"/>
          <w:sz w:val="20"/>
          <w:szCs w:val="20"/>
          <w:lang w:eastAsia="hr-HR"/>
        </w:rPr>
        <w:t>izvješća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o radu; postupa po uputama i zahtjevima načelnika sektora iz djelokruga rada za koji su sektori ovlaš</w:t>
      </w:r>
      <w:r w:rsidR="00413E6A">
        <w:rPr>
          <w:rFonts w:ascii="Arial" w:hAnsi="Arial" w:cs="Arial"/>
          <w:sz w:val="20"/>
          <w:szCs w:val="20"/>
          <w:lang w:eastAsia="hr-HR"/>
        </w:rPr>
        <w:t>će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ni; s</w:t>
      </w:r>
      <w:r w:rsidR="00413E6A">
        <w:rPr>
          <w:rFonts w:ascii="Arial" w:hAnsi="Arial" w:cs="Arial"/>
          <w:sz w:val="20"/>
          <w:szCs w:val="20"/>
          <w:lang w:eastAsia="hr-HR"/>
        </w:rPr>
        <w:t>u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rađuje sa drugim </w:t>
      </w:r>
      <w:r w:rsidR="00413E6A">
        <w:rPr>
          <w:rFonts w:ascii="Arial" w:hAnsi="Arial" w:cs="Arial"/>
          <w:sz w:val="20"/>
          <w:szCs w:val="20"/>
          <w:lang w:eastAsia="hr-HR"/>
        </w:rPr>
        <w:t>organizacijsk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im jedinicama Službe; obavlja i druge poslove po nalogu </w:t>
      </w:r>
      <w:r w:rsidR="00413E6A">
        <w:rPr>
          <w:rFonts w:ascii="Arial" w:hAnsi="Arial" w:cs="Arial"/>
          <w:sz w:val="20"/>
          <w:szCs w:val="20"/>
          <w:lang w:eastAsia="hr-HR"/>
        </w:rPr>
        <w:t>ravnatelja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Službe kojem je odgovoran za svoj i rad Terenskog centra</w:t>
      </w:r>
      <w:r w:rsidR="005B1AAC" w:rsidRPr="00EC6EC5">
        <w:rPr>
          <w:rFonts w:ascii="Arial" w:hAnsi="Arial" w:cs="Arial"/>
          <w:sz w:val="20"/>
          <w:szCs w:val="20"/>
          <w:lang w:eastAsia="hr-HR"/>
        </w:rPr>
        <w:t>.</w:t>
      </w:r>
    </w:p>
    <w:p w14:paraId="7FF473DB" w14:textId="20EC31E9" w:rsidR="00D02D0F" w:rsidRPr="00EC6EC5" w:rsidRDefault="00A07F7E" w:rsidP="001D720C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sz w:val="20"/>
          <w:szCs w:val="20"/>
        </w:rPr>
        <w:t>Posebni uvjeti:</w:t>
      </w:r>
      <w:r w:rsidR="001145F9" w:rsidRPr="00EC6EC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Visoka stručna sprema (VII st</w:t>
      </w:r>
      <w:r w:rsidR="00413E6A">
        <w:rPr>
          <w:rFonts w:ascii="Arial" w:hAnsi="Arial" w:cs="Arial"/>
          <w:sz w:val="20"/>
          <w:szCs w:val="20"/>
          <w:lang w:eastAsia="hr-HR"/>
        </w:rPr>
        <w:t>upanj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) - završen fakultet, društvenih, tehničkih ili prirod</w:t>
      </w:r>
      <w:r w:rsidR="00413E6A">
        <w:rPr>
          <w:rFonts w:ascii="Arial" w:hAnsi="Arial" w:cs="Arial"/>
          <w:sz w:val="20"/>
          <w:szCs w:val="20"/>
          <w:lang w:eastAsia="hr-HR"/>
        </w:rPr>
        <w:t>noslovnih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413E6A">
        <w:rPr>
          <w:rFonts w:ascii="Arial" w:hAnsi="Arial" w:cs="Arial"/>
          <w:sz w:val="20"/>
          <w:szCs w:val="20"/>
          <w:lang w:eastAsia="hr-HR"/>
        </w:rPr>
        <w:t>znanosti</w:t>
      </w:r>
      <w:r w:rsidR="00B25204">
        <w:rPr>
          <w:rFonts w:ascii="Arial" w:hAnsi="Arial" w:cs="Arial"/>
          <w:sz w:val="20"/>
          <w:szCs w:val="20"/>
          <w:lang w:eastAsia="hr-HR"/>
        </w:rPr>
        <w:t>;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najmanje 4 godine radnog iskustva u struci</w:t>
      </w:r>
      <w:r w:rsidR="00B25204">
        <w:rPr>
          <w:rFonts w:ascii="Arial" w:hAnsi="Arial" w:cs="Arial"/>
          <w:sz w:val="20"/>
          <w:szCs w:val="20"/>
          <w:lang w:eastAsia="hr-HR"/>
        </w:rPr>
        <w:t>;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poznavanje engleskog jezika</w:t>
      </w:r>
      <w:r w:rsidR="00B25204">
        <w:rPr>
          <w:rFonts w:ascii="Arial" w:hAnsi="Arial" w:cs="Arial"/>
          <w:sz w:val="20"/>
          <w:szCs w:val="20"/>
          <w:lang w:eastAsia="hr-HR"/>
        </w:rPr>
        <w:t>;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poznavanje rada na računa</w:t>
      </w:r>
      <w:r w:rsidR="00413E6A">
        <w:rPr>
          <w:rFonts w:ascii="Arial" w:hAnsi="Arial" w:cs="Arial"/>
          <w:sz w:val="20"/>
          <w:szCs w:val="20"/>
          <w:lang w:eastAsia="hr-HR"/>
        </w:rPr>
        <w:t>l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>u</w:t>
      </w:r>
      <w:r w:rsidR="00B25204">
        <w:rPr>
          <w:rFonts w:ascii="Arial" w:hAnsi="Arial" w:cs="Arial"/>
          <w:sz w:val="20"/>
          <w:szCs w:val="20"/>
          <w:lang w:eastAsia="hr-HR"/>
        </w:rPr>
        <w:t>;</w:t>
      </w:r>
      <w:r w:rsidR="00D77600" w:rsidRPr="00EC6EC5">
        <w:rPr>
          <w:rFonts w:ascii="Arial" w:hAnsi="Arial" w:cs="Arial"/>
          <w:sz w:val="20"/>
          <w:szCs w:val="20"/>
          <w:lang w:eastAsia="hr-HR"/>
        </w:rPr>
        <w:t xml:space="preserve"> položen stručni upravni ispit.</w:t>
      </w:r>
    </w:p>
    <w:p w14:paraId="33C23779" w14:textId="2DA0ECF7" w:rsidR="00FA4036" w:rsidRPr="00EC6EC5" w:rsidRDefault="00D02D0F" w:rsidP="00FA4036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>Status:</w:t>
      </w:r>
      <w:r w:rsidRPr="00EC6EC5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EC6EC5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D77600" w:rsidRPr="00EC6EC5">
        <w:rPr>
          <w:rFonts w:ascii="Arial" w:hAnsi="Arial" w:cs="Arial"/>
          <w:iCs/>
          <w:sz w:val="20"/>
          <w:szCs w:val="20"/>
        </w:rPr>
        <w:t>šef unutarnje organizacijske jedinice.</w:t>
      </w:r>
      <w:r w:rsidR="00424265" w:rsidRPr="00EC6EC5">
        <w:rPr>
          <w:rFonts w:ascii="Arial" w:hAnsi="Arial" w:cs="Arial"/>
          <w:iCs/>
          <w:sz w:val="20"/>
          <w:szCs w:val="20"/>
        </w:rPr>
        <w:t xml:space="preserve"> </w:t>
      </w:r>
    </w:p>
    <w:p w14:paraId="03CCECA0" w14:textId="7B7BF122" w:rsidR="00D02D0F" w:rsidRPr="00EC6EC5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C6EC5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EC6EC5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EC6EC5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EC6EC5">
        <w:rPr>
          <w:rFonts w:ascii="Arial" w:hAnsi="Arial" w:cs="Arial"/>
          <w:bCs/>
          <w:iCs/>
          <w:sz w:val="20"/>
          <w:szCs w:val="20"/>
        </w:rPr>
        <w:t>1</w:t>
      </w:r>
      <w:r w:rsidR="00D02D0F" w:rsidRPr="00EC6EC5">
        <w:rPr>
          <w:rFonts w:ascii="Arial" w:hAnsi="Arial" w:cs="Arial"/>
          <w:bCs/>
          <w:iCs/>
          <w:sz w:val="20"/>
          <w:szCs w:val="20"/>
        </w:rPr>
        <w:t>)</w:t>
      </w:r>
    </w:p>
    <w:p w14:paraId="2DE0A243" w14:textId="77777777" w:rsidR="005E7EAE" w:rsidRPr="00EC6EC5" w:rsidRDefault="00D02D0F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EC6EC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5E7EAE"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Goražde</w:t>
      </w:r>
    </w:p>
    <w:p w14:paraId="679E5B23" w14:textId="1DBDBBC9" w:rsidR="00D02D0F" w:rsidRPr="00EC6EC5" w:rsidRDefault="00D02D0F" w:rsidP="00D02D0F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14:paraId="181E0AD4" w14:textId="77777777" w:rsidR="005E7EAE" w:rsidRPr="00EC6EC5" w:rsidRDefault="005E7EAE" w:rsidP="00D02D0F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14:paraId="5E1BD72F" w14:textId="77777777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Terenski centar Brčko</w:t>
      </w:r>
    </w:p>
    <w:p w14:paraId="4377EF39" w14:textId="77777777" w:rsidR="005E7EAE" w:rsidRPr="00EC6EC5" w:rsidRDefault="005E7EAE" w:rsidP="00D02D0F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14:paraId="0790E7CE" w14:textId="1A301B97" w:rsidR="005E7EAE" w:rsidRPr="00EC6EC5" w:rsidRDefault="005E7EAE" w:rsidP="005E7EA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6EC5">
        <w:rPr>
          <w:rFonts w:ascii="Arial" w:hAnsi="Arial" w:cs="Arial"/>
          <w:b/>
          <w:sz w:val="20"/>
          <w:szCs w:val="20"/>
          <w:u w:val="single"/>
        </w:rPr>
        <w:t xml:space="preserve">1/02 </w:t>
      </w:r>
      <w:r w:rsidRPr="00EC6EC5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Šef Terenskog centra</w:t>
      </w:r>
    </w:p>
    <w:p w14:paraId="5D198374" w14:textId="46F409D8" w:rsidR="005E7EAE" w:rsidRPr="00EC6EC5" w:rsidRDefault="005E7EAE" w:rsidP="005E7EAE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C6EC5">
        <w:rPr>
          <w:rFonts w:ascii="Arial" w:hAnsi="Arial" w:cs="Arial"/>
          <w:b/>
          <w:sz w:val="20"/>
          <w:szCs w:val="20"/>
        </w:rPr>
        <w:t>Opis poslova i radnih zadataka</w:t>
      </w:r>
      <w:r w:rsidRPr="00EC6EC5">
        <w:rPr>
          <w:rFonts w:ascii="Arial" w:hAnsi="Arial" w:cs="Arial"/>
          <w:sz w:val="20"/>
          <w:szCs w:val="20"/>
        </w:rPr>
        <w:t xml:space="preserve">: 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Rukovodi </w:t>
      </w:r>
      <w:r w:rsidR="00855ECD">
        <w:rPr>
          <w:rFonts w:ascii="Arial" w:hAnsi="Arial" w:cs="Arial"/>
          <w:sz w:val="20"/>
          <w:szCs w:val="20"/>
          <w:lang w:eastAsia="hr-HR"/>
        </w:rPr>
        <w:t>organizacijsko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m jedinicom i obezbje</w:t>
      </w:r>
      <w:r w:rsidR="00855ECD">
        <w:rPr>
          <w:rFonts w:ascii="Arial" w:hAnsi="Arial" w:cs="Arial"/>
          <w:sz w:val="20"/>
          <w:szCs w:val="20"/>
          <w:lang w:eastAsia="hr-HR"/>
        </w:rPr>
        <w:t>đ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uje zakonito, transparentno, javno, odgovorno, efikasno, ekonomično i nepristrasno izvršavanje poslova; koordinira rad uposlenih u Terenskom centru, daje neposredne zadatke stručnim savjetnicima, stručnim s</w:t>
      </w:r>
      <w:r w:rsidR="00855ECD">
        <w:rPr>
          <w:rFonts w:ascii="Arial" w:hAnsi="Arial" w:cs="Arial"/>
          <w:sz w:val="20"/>
          <w:szCs w:val="20"/>
          <w:lang w:eastAsia="hr-HR"/>
        </w:rPr>
        <w:t>u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radnicima i ostalim </w:t>
      </w:r>
      <w:r w:rsidR="00855ECD">
        <w:rPr>
          <w:rFonts w:ascii="Arial" w:hAnsi="Arial" w:cs="Arial"/>
          <w:sz w:val="20"/>
          <w:szCs w:val="20"/>
          <w:lang w:eastAsia="hr-HR"/>
        </w:rPr>
        <w:t>uposlenim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u Terenskom centru i pomaže im u izvršavanju složenijih radnih zadataka (izrada i analiza pojedinačnih i op</w:t>
      </w:r>
      <w:r w:rsidR="00855ECD">
        <w:rPr>
          <w:rFonts w:ascii="Arial" w:hAnsi="Arial" w:cs="Arial"/>
          <w:sz w:val="20"/>
          <w:szCs w:val="20"/>
          <w:lang w:eastAsia="hr-HR"/>
        </w:rPr>
        <w:t>ć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ih akata </w:t>
      </w:r>
      <w:r w:rsidR="00855ECD">
        <w:rPr>
          <w:rFonts w:ascii="Arial" w:hAnsi="Arial" w:cs="Arial"/>
          <w:sz w:val="20"/>
          <w:szCs w:val="20"/>
          <w:lang w:eastAsia="hr-HR"/>
        </w:rPr>
        <w:t>izvješć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a, informacija, prijedloga zakonskih akata i sl), kordinira i </w:t>
      </w:r>
      <w:r w:rsidR="00963747">
        <w:rPr>
          <w:rFonts w:ascii="Arial" w:hAnsi="Arial" w:cs="Arial"/>
          <w:sz w:val="20"/>
          <w:szCs w:val="20"/>
          <w:lang w:eastAsia="hr-HR"/>
        </w:rPr>
        <w:t>s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provodi obveze iz Zakona o ketanju boravku stranaca i azilu, Zakona o službi za poslove sa strancima i drugih propisa u BiH; donosi odluke za koje je ovlaš</w:t>
      </w:r>
      <w:r w:rsidR="00855ECD">
        <w:rPr>
          <w:rFonts w:ascii="Arial" w:hAnsi="Arial" w:cs="Arial"/>
          <w:sz w:val="20"/>
          <w:szCs w:val="20"/>
          <w:lang w:eastAsia="hr-HR"/>
        </w:rPr>
        <w:t>ćen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posebnim rješenjem </w:t>
      </w:r>
      <w:r w:rsidR="00855ECD">
        <w:rPr>
          <w:rFonts w:ascii="Arial" w:hAnsi="Arial" w:cs="Arial"/>
          <w:sz w:val="20"/>
          <w:szCs w:val="20"/>
          <w:lang w:eastAsia="hr-HR"/>
        </w:rPr>
        <w:t>ravnatelja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; sačinjava planove i </w:t>
      </w:r>
      <w:r w:rsidR="00855ECD">
        <w:rPr>
          <w:rFonts w:ascii="Arial" w:hAnsi="Arial" w:cs="Arial"/>
          <w:sz w:val="20"/>
          <w:szCs w:val="20"/>
          <w:lang w:eastAsia="hr-HR"/>
        </w:rPr>
        <w:t>izvješća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o radu; postupa po uputama i zahtjevima načelnika sektora iz djelokruga rada za koji su sektori ovlaš</w:t>
      </w:r>
      <w:r w:rsidR="00855ECD">
        <w:rPr>
          <w:rFonts w:ascii="Arial" w:hAnsi="Arial" w:cs="Arial"/>
          <w:sz w:val="20"/>
          <w:szCs w:val="20"/>
          <w:lang w:eastAsia="hr-HR"/>
        </w:rPr>
        <w:t>će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ni; s</w:t>
      </w:r>
      <w:r w:rsidR="00855ECD">
        <w:rPr>
          <w:rFonts w:ascii="Arial" w:hAnsi="Arial" w:cs="Arial"/>
          <w:sz w:val="20"/>
          <w:szCs w:val="20"/>
          <w:lang w:eastAsia="hr-HR"/>
        </w:rPr>
        <w:t>u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rađuje sa drugim </w:t>
      </w:r>
      <w:r w:rsidR="00855ECD">
        <w:rPr>
          <w:rFonts w:ascii="Arial" w:hAnsi="Arial" w:cs="Arial"/>
          <w:sz w:val="20"/>
          <w:szCs w:val="20"/>
          <w:lang w:eastAsia="hr-HR"/>
        </w:rPr>
        <w:t>organizacijsk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im jedinicama Službe; obavlja i druge poslove po nalogu </w:t>
      </w:r>
      <w:r w:rsidR="00855ECD">
        <w:rPr>
          <w:rFonts w:ascii="Arial" w:hAnsi="Arial" w:cs="Arial"/>
          <w:sz w:val="20"/>
          <w:szCs w:val="20"/>
          <w:lang w:eastAsia="hr-HR"/>
        </w:rPr>
        <w:t>ravnatelja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Službe kojem je odgovoran za svoj i rad Terenskog centra.</w:t>
      </w:r>
    </w:p>
    <w:p w14:paraId="36D4ED21" w14:textId="167C5F81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sz w:val="20"/>
          <w:szCs w:val="20"/>
        </w:rPr>
        <w:t>Posebni uvjeti:</w:t>
      </w:r>
      <w:r w:rsidRPr="00EC6EC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Visoka stručna sprema (VII st</w:t>
      </w:r>
      <w:r w:rsidR="00855ECD">
        <w:rPr>
          <w:rFonts w:ascii="Arial" w:hAnsi="Arial" w:cs="Arial"/>
          <w:sz w:val="20"/>
          <w:szCs w:val="20"/>
          <w:lang w:eastAsia="hr-HR"/>
        </w:rPr>
        <w:t>upanj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) - završen fakultet, društvenih, tehničkih ili prirod</w:t>
      </w:r>
      <w:r w:rsidR="00855ECD">
        <w:rPr>
          <w:rFonts w:ascii="Arial" w:hAnsi="Arial" w:cs="Arial"/>
          <w:sz w:val="20"/>
          <w:szCs w:val="20"/>
          <w:lang w:eastAsia="hr-HR"/>
        </w:rPr>
        <w:t>noslovnih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55ECD">
        <w:rPr>
          <w:rFonts w:ascii="Arial" w:hAnsi="Arial" w:cs="Arial"/>
          <w:sz w:val="20"/>
          <w:szCs w:val="20"/>
          <w:lang w:eastAsia="hr-HR"/>
        </w:rPr>
        <w:t>znanosti</w:t>
      </w:r>
      <w:r w:rsidR="0044074F">
        <w:rPr>
          <w:rFonts w:ascii="Arial" w:hAnsi="Arial" w:cs="Arial"/>
          <w:sz w:val="20"/>
          <w:szCs w:val="20"/>
          <w:lang w:eastAsia="hr-HR"/>
        </w:rPr>
        <w:t>;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najmanje 4 godine radnog iskustva u struci</w:t>
      </w:r>
      <w:r w:rsidR="0044074F">
        <w:rPr>
          <w:rFonts w:ascii="Arial" w:hAnsi="Arial" w:cs="Arial"/>
          <w:sz w:val="20"/>
          <w:szCs w:val="20"/>
          <w:lang w:eastAsia="hr-HR"/>
        </w:rPr>
        <w:t>;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poznavanje engleskog jezika</w:t>
      </w:r>
      <w:r w:rsidR="0044074F">
        <w:rPr>
          <w:rFonts w:ascii="Arial" w:hAnsi="Arial" w:cs="Arial"/>
          <w:sz w:val="20"/>
          <w:szCs w:val="20"/>
          <w:lang w:eastAsia="hr-HR"/>
        </w:rPr>
        <w:t>;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 xml:space="preserve"> poznavanje rada na računa</w:t>
      </w:r>
      <w:r w:rsidR="00855ECD">
        <w:rPr>
          <w:rFonts w:ascii="Arial" w:hAnsi="Arial" w:cs="Arial"/>
          <w:sz w:val="20"/>
          <w:szCs w:val="20"/>
          <w:lang w:eastAsia="hr-HR"/>
        </w:rPr>
        <w:t>l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u</w:t>
      </w:r>
      <w:r w:rsidR="0044074F">
        <w:rPr>
          <w:rFonts w:ascii="Arial" w:hAnsi="Arial" w:cs="Arial"/>
          <w:sz w:val="20"/>
          <w:szCs w:val="20"/>
          <w:lang w:eastAsia="hr-HR"/>
        </w:rPr>
        <w:t xml:space="preserve">; </w:t>
      </w:r>
      <w:r w:rsidR="00855ECD" w:rsidRPr="00EC6EC5">
        <w:rPr>
          <w:rFonts w:ascii="Arial" w:hAnsi="Arial" w:cs="Arial"/>
          <w:sz w:val="20"/>
          <w:szCs w:val="20"/>
          <w:lang w:eastAsia="hr-HR"/>
        </w:rPr>
        <w:t>položen stručni upravni ispit.</w:t>
      </w:r>
    </w:p>
    <w:p w14:paraId="2199EBB9" w14:textId="77777777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>Status:</w:t>
      </w:r>
      <w:r w:rsidRPr="00EC6EC5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 </w:t>
      </w:r>
    </w:p>
    <w:p w14:paraId="28F4DECB" w14:textId="77777777" w:rsidR="005E7EAE" w:rsidRPr="00EC6EC5" w:rsidRDefault="005E7EAE" w:rsidP="005E7EAE">
      <w:pPr>
        <w:jc w:val="both"/>
        <w:rPr>
          <w:rFonts w:ascii="Arial" w:hAnsi="Arial" w:cs="Arial"/>
          <w:iCs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C6EC5">
        <w:rPr>
          <w:rFonts w:ascii="Arial" w:hAnsi="Arial" w:cs="Arial"/>
          <w:bCs/>
          <w:iCs/>
          <w:sz w:val="20"/>
          <w:szCs w:val="20"/>
        </w:rPr>
        <w:t>jedan (1)</w:t>
      </w:r>
    </w:p>
    <w:p w14:paraId="5513C944" w14:textId="42D1C7B0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Brčko</w:t>
      </w:r>
    </w:p>
    <w:p w14:paraId="6FC935BD" w14:textId="77777777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39B8384" w14:textId="77777777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12E5120" w14:textId="77777777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SEKTOR ZA ADMINISTRACIJU</w:t>
      </w:r>
    </w:p>
    <w:p w14:paraId="5327E7F0" w14:textId="04D3918F" w:rsidR="005E7EAE" w:rsidRPr="00EC6EC5" w:rsidRDefault="005C3DC7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Odjel</w:t>
      </w:r>
      <w:r w:rsidR="005E7EAE"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za pravne i kadrovske poslove</w:t>
      </w:r>
    </w:p>
    <w:p w14:paraId="00BB5949" w14:textId="77777777" w:rsidR="005E7EAE" w:rsidRPr="00EC6EC5" w:rsidRDefault="005E7EAE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9AB9033" w14:textId="33BB0FF3" w:rsidR="005E7EAE" w:rsidRPr="00EC6EC5" w:rsidRDefault="005E7EAE" w:rsidP="005E7EA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6EC5">
        <w:rPr>
          <w:rFonts w:ascii="Arial" w:hAnsi="Arial" w:cs="Arial"/>
          <w:b/>
          <w:sz w:val="20"/>
          <w:szCs w:val="20"/>
          <w:u w:val="single"/>
        </w:rPr>
        <w:t xml:space="preserve">1/03 </w:t>
      </w:r>
      <w:r w:rsidRPr="00EC6EC5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 xml:space="preserve">Šef </w:t>
      </w:r>
      <w:r w:rsidR="005C3DC7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Odjel</w:t>
      </w:r>
      <w:r w:rsidRPr="00EC6EC5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a za pravne i kadrovske poslove</w:t>
      </w:r>
    </w:p>
    <w:p w14:paraId="45C7E00D" w14:textId="05A57A7B" w:rsidR="005E7EAE" w:rsidRPr="00EC6EC5" w:rsidRDefault="005E7EAE" w:rsidP="005E7EAE">
      <w:pPr>
        <w:tabs>
          <w:tab w:val="left" w:pos="2970"/>
        </w:tabs>
        <w:ind w:right="-1"/>
        <w:jc w:val="both"/>
        <w:rPr>
          <w:rFonts w:ascii="Arial" w:hAnsi="Arial" w:cs="Arial"/>
          <w:sz w:val="20"/>
          <w:szCs w:val="20"/>
          <w:lang w:eastAsia="hr-HR"/>
        </w:rPr>
      </w:pPr>
      <w:r w:rsidRPr="00EC6EC5">
        <w:rPr>
          <w:rFonts w:ascii="Arial" w:hAnsi="Arial" w:cs="Arial"/>
          <w:b/>
          <w:sz w:val="20"/>
          <w:szCs w:val="20"/>
        </w:rPr>
        <w:t>Opis poslova i radnih zadataka</w:t>
      </w:r>
      <w:r w:rsidRPr="00EC6EC5">
        <w:rPr>
          <w:rFonts w:ascii="Arial" w:hAnsi="Arial" w:cs="Arial"/>
          <w:sz w:val="20"/>
          <w:szCs w:val="20"/>
        </w:rPr>
        <w:t xml:space="preserve">: </w:t>
      </w:r>
      <w:r w:rsidRPr="00EC6EC5">
        <w:rPr>
          <w:rFonts w:ascii="Arial" w:hAnsi="Arial" w:cs="Arial"/>
          <w:sz w:val="20"/>
          <w:szCs w:val="20"/>
          <w:lang w:eastAsia="hr-HR"/>
        </w:rPr>
        <w:t>Obavlja poslove rukovođenja unuta</w:t>
      </w:r>
      <w:r w:rsidR="00837955">
        <w:rPr>
          <w:rFonts w:ascii="Arial" w:hAnsi="Arial" w:cs="Arial"/>
          <w:sz w:val="20"/>
          <w:szCs w:val="20"/>
          <w:lang w:eastAsia="hr-HR"/>
        </w:rPr>
        <w:t>rnjom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413E6A">
        <w:rPr>
          <w:rFonts w:ascii="Arial" w:hAnsi="Arial" w:cs="Arial"/>
          <w:sz w:val="20"/>
          <w:szCs w:val="20"/>
          <w:lang w:eastAsia="hr-HR"/>
        </w:rPr>
        <w:t>organizacijsk</w:t>
      </w:r>
      <w:r w:rsidRPr="00EC6EC5">
        <w:rPr>
          <w:rFonts w:ascii="Arial" w:hAnsi="Arial" w:cs="Arial"/>
          <w:sz w:val="20"/>
          <w:szCs w:val="20"/>
          <w:lang w:eastAsia="hr-HR"/>
        </w:rPr>
        <w:t>om jedinicom, neposredno odgovara za racionalno koriš</w:t>
      </w:r>
      <w:r w:rsidR="00837955">
        <w:rPr>
          <w:rFonts w:ascii="Arial" w:hAnsi="Arial" w:cs="Arial"/>
          <w:sz w:val="20"/>
          <w:szCs w:val="20"/>
          <w:lang w:eastAsia="hr-HR"/>
        </w:rPr>
        <w:t>će</w:t>
      </w:r>
      <w:r w:rsidRPr="00EC6EC5">
        <w:rPr>
          <w:rFonts w:ascii="Arial" w:hAnsi="Arial" w:cs="Arial"/>
          <w:sz w:val="20"/>
          <w:szCs w:val="20"/>
          <w:lang w:eastAsia="hr-HR"/>
        </w:rPr>
        <w:t>nje materijalnih i ljudskih potencijala dod</w:t>
      </w:r>
      <w:r w:rsidR="00D646C0">
        <w:rPr>
          <w:rFonts w:ascii="Arial" w:hAnsi="Arial" w:cs="Arial"/>
          <w:sz w:val="20"/>
          <w:szCs w:val="20"/>
          <w:lang w:eastAsia="hr-HR"/>
        </w:rPr>
        <w:t>i</w:t>
      </w:r>
      <w:r w:rsidR="00DD5707">
        <w:rPr>
          <w:rFonts w:ascii="Arial" w:hAnsi="Arial" w:cs="Arial"/>
          <w:sz w:val="20"/>
          <w:szCs w:val="20"/>
          <w:lang w:eastAsia="hr-HR"/>
        </w:rPr>
        <w:t>je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ljenih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Pr="00EC6EC5">
        <w:rPr>
          <w:rFonts w:ascii="Arial" w:hAnsi="Arial" w:cs="Arial"/>
          <w:sz w:val="20"/>
          <w:szCs w:val="20"/>
          <w:lang w:eastAsia="hr-HR"/>
        </w:rPr>
        <w:t>u, organiz</w:t>
      </w:r>
      <w:r w:rsidR="00837955">
        <w:rPr>
          <w:rFonts w:ascii="Arial" w:hAnsi="Arial" w:cs="Arial"/>
          <w:sz w:val="20"/>
          <w:szCs w:val="20"/>
          <w:lang w:eastAsia="hr-HR"/>
        </w:rPr>
        <w:t>ira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, objedinjuje i usmjerava rad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a, odgovoran je za efikasno, blagovremeno, zakonito i profesionalno izvršavanje poslova iz </w:t>
      </w:r>
      <w:r w:rsidR="00837955">
        <w:rPr>
          <w:rFonts w:ascii="Arial" w:hAnsi="Arial" w:cs="Arial"/>
          <w:sz w:val="20"/>
          <w:szCs w:val="20"/>
          <w:lang w:eastAsia="hr-HR"/>
        </w:rPr>
        <w:t>djelokruga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Pr="00EC6EC5">
        <w:rPr>
          <w:rFonts w:ascii="Arial" w:hAnsi="Arial" w:cs="Arial"/>
          <w:sz w:val="20"/>
          <w:szCs w:val="20"/>
          <w:lang w:eastAsia="hr-HR"/>
        </w:rPr>
        <w:t>a, s</w:t>
      </w:r>
      <w:r w:rsidR="00837955">
        <w:rPr>
          <w:rFonts w:ascii="Arial" w:hAnsi="Arial" w:cs="Arial"/>
          <w:sz w:val="20"/>
          <w:szCs w:val="20"/>
          <w:lang w:eastAsia="hr-HR"/>
        </w:rPr>
        <w:t>u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rađuje sa Agencijom za državnu službu i Odborom državne službe za žalbe, </w:t>
      </w:r>
      <w:r w:rsidRPr="00EC6EC5">
        <w:rPr>
          <w:rFonts w:ascii="Arial" w:hAnsi="Arial" w:cs="Arial"/>
          <w:sz w:val="20"/>
          <w:szCs w:val="20"/>
          <w:lang w:eastAsia="hr-HR"/>
        </w:rPr>
        <w:lastRenderedPageBreak/>
        <w:t xml:space="preserve">provodi Odluke za implementaciju Zakona o državnoj službi, predlaže obuke i specijalistička obrazovanja, obezbjeđuje svim državnim službenicima i </w:t>
      </w:r>
      <w:r w:rsidR="00DD5707">
        <w:rPr>
          <w:rFonts w:ascii="Arial" w:hAnsi="Arial" w:cs="Arial"/>
          <w:sz w:val="20"/>
          <w:szCs w:val="20"/>
          <w:lang w:eastAsia="hr-HR"/>
        </w:rPr>
        <w:t>uposlenima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nesmetan pristup svom personalnom dosjeu, raspore</w:t>
      </w:r>
      <w:r w:rsidR="00A50C18">
        <w:rPr>
          <w:rFonts w:ascii="Arial" w:hAnsi="Arial" w:cs="Arial"/>
          <w:sz w:val="20"/>
          <w:szCs w:val="20"/>
          <w:lang w:eastAsia="hr-HR"/>
        </w:rPr>
        <w:t>đ</w:t>
      </w:r>
      <w:r w:rsidRPr="00EC6EC5">
        <w:rPr>
          <w:rFonts w:ascii="Arial" w:hAnsi="Arial" w:cs="Arial"/>
          <w:sz w:val="20"/>
          <w:szCs w:val="20"/>
          <w:lang w:eastAsia="hr-HR"/>
        </w:rPr>
        <w:t>uje poslove na neposredne izvrši</w:t>
      </w:r>
      <w:r w:rsidR="00420D8E">
        <w:rPr>
          <w:rFonts w:ascii="Arial" w:hAnsi="Arial" w:cs="Arial"/>
          <w:sz w:val="20"/>
          <w:szCs w:val="20"/>
          <w:lang w:eastAsia="hr-HR"/>
        </w:rPr>
        <w:t>telje</w:t>
      </w:r>
      <w:r w:rsidRPr="00EC6EC5">
        <w:rPr>
          <w:rFonts w:ascii="Arial" w:hAnsi="Arial" w:cs="Arial"/>
          <w:sz w:val="20"/>
          <w:szCs w:val="20"/>
          <w:lang w:eastAsia="hr-HR"/>
        </w:rPr>
        <w:t>, pruža izvrši</w:t>
      </w:r>
      <w:r w:rsidR="00420D8E">
        <w:rPr>
          <w:rFonts w:ascii="Arial" w:hAnsi="Arial" w:cs="Arial"/>
          <w:sz w:val="20"/>
          <w:szCs w:val="20"/>
          <w:lang w:eastAsia="hr-HR"/>
        </w:rPr>
        <w:t>teljima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potrebnu stručnu pomoć u radu i obavlja najsloženije poslove iz </w:t>
      </w:r>
      <w:r w:rsidR="00837955">
        <w:rPr>
          <w:rFonts w:ascii="Arial" w:hAnsi="Arial" w:cs="Arial"/>
          <w:sz w:val="20"/>
          <w:szCs w:val="20"/>
          <w:lang w:eastAsia="hr-HR"/>
        </w:rPr>
        <w:t>djelokruga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a, kao i druge poslove po nalogu načelnika Sektora kome podnosi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Pr="00EC6EC5">
        <w:rPr>
          <w:rFonts w:ascii="Arial" w:hAnsi="Arial" w:cs="Arial"/>
          <w:sz w:val="20"/>
          <w:szCs w:val="20"/>
          <w:lang w:eastAsia="hr-HR"/>
        </w:rPr>
        <w:t>a o radu.</w:t>
      </w:r>
    </w:p>
    <w:p w14:paraId="1FEB1F60" w14:textId="0F6795F7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sz w:val="20"/>
          <w:szCs w:val="20"/>
        </w:rPr>
        <w:t>Posebni uvjeti:</w:t>
      </w:r>
      <w:r w:rsidRPr="00EC6EC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C6EC5">
        <w:rPr>
          <w:rFonts w:ascii="Arial" w:hAnsi="Arial" w:cs="Arial"/>
          <w:sz w:val="20"/>
          <w:szCs w:val="20"/>
          <w:lang w:eastAsia="hr-HR"/>
        </w:rPr>
        <w:t>Visoka stručna sprema (VII st</w:t>
      </w:r>
      <w:r w:rsidR="004E5A3B">
        <w:rPr>
          <w:rFonts w:ascii="Arial" w:hAnsi="Arial" w:cs="Arial"/>
          <w:sz w:val="20"/>
          <w:szCs w:val="20"/>
          <w:lang w:eastAsia="hr-HR"/>
        </w:rPr>
        <w:t>u</w:t>
      </w:r>
      <w:r w:rsidRPr="00EC6EC5">
        <w:rPr>
          <w:rFonts w:ascii="Arial" w:hAnsi="Arial" w:cs="Arial"/>
          <w:sz w:val="20"/>
          <w:szCs w:val="20"/>
          <w:lang w:eastAsia="hr-HR"/>
        </w:rPr>
        <w:t>p</w:t>
      </w:r>
      <w:r w:rsidR="004E5A3B">
        <w:rPr>
          <w:rFonts w:ascii="Arial" w:hAnsi="Arial" w:cs="Arial"/>
          <w:sz w:val="20"/>
          <w:szCs w:val="20"/>
          <w:lang w:eastAsia="hr-HR"/>
        </w:rPr>
        <w:t>anj</w:t>
      </w:r>
      <w:r w:rsidRPr="00EC6EC5">
        <w:rPr>
          <w:rFonts w:ascii="Arial" w:hAnsi="Arial" w:cs="Arial"/>
          <w:sz w:val="20"/>
          <w:szCs w:val="20"/>
          <w:lang w:eastAsia="hr-HR"/>
        </w:rPr>
        <w:t>) - završen pravni fakultet</w:t>
      </w:r>
      <w:r w:rsidR="003F3450">
        <w:rPr>
          <w:rFonts w:ascii="Arial" w:hAnsi="Arial" w:cs="Arial"/>
          <w:sz w:val="20"/>
          <w:szCs w:val="20"/>
          <w:lang w:eastAsia="hr-HR"/>
        </w:rPr>
        <w:t>;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najmanje 4 godine radnog iskustva u struci</w:t>
      </w:r>
      <w:r w:rsidR="003F3450">
        <w:rPr>
          <w:rFonts w:ascii="Arial" w:hAnsi="Arial" w:cs="Arial"/>
          <w:sz w:val="20"/>
          <w:szCs w:val="20"/>
          <w:lang w:eastAsia="hr-HR"/>
        </w:rPr>
        <w:t>;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položen stručni upravni ispit</w:t>
      </w:r>
      <w:r w:rsidR="003F3450">
        <w:rPr>
          <w:rFonts w:ascii="Arial" w:hAnsi="Arial" w:cs="Arial"/>
          <w:sz w:val="20"/>
          <w:szCs w:val="20"/>
          <w:lang w:eastAsia="hr-HR"/>
        </w:rPr>
        <w:t>;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poznavanje engleskog jezika</w:t>
      </w:r>
      <w:r w:rsidR="003F3450">
        <w:rPr>
          <w:rFonts w:ascii="Arial" w:hAnsi="Arial" w:cs="Arial"/>
          <w:sz w:val="20"/>
          <w:szCs w:val="20"/>
          <w:lang w:eastAsia="hr-HR"/>
        </w:rPr>
        <w:t>;</w:t>
      </w:r>
      <w:r w:rsidRPr="00EC6EC5">
        <w:rPr>
          <w:rFonts w:ascii="Arial" w:hAnsi="Arial" w:cs="Arial"/>
          <w:sz w:val="20"/>
          <w:szCs w:val="20"/>
          <w:lang w:eastAsia="hr-HR"/>
        </w:rPr>
        <w:t xml:space="preserve"> poznavanje rada na računa</w:t>
      </w:r>
      <w:r w:rsidR="00837955">
        <w:rPr>
          <w:rFonts w:ascii="Arial" w:hAnsi="Arial" w:cs="Arial"/>
          <w:sz w:val="20"/>
          <w:szCs w:val="20"/>
          <w:lang w:eastAsia="hr-HR"/>
        </w:rPr>
        <w:t>l</w:t>
      </w:r>
      <w:r w:rsidRPr="00EC6EC5">
        <w:rPr>
          <w:rFonts w:ascii="Arial" w:hAnsi="Arial" w:cs="Arial"/>
          <w:sz w:val="20"/>
          <w:szCs w:val="20"/>
          <w:lang w:eastAsia="hr-HR"/>
        </w:rPr>
        <w:t>u.</w:t>
      </w:r>
    </w:p>
    <w:p w14:paraId="1A1F78C0" w14:textId="77777777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>Status:</w:t>
      </w:r>
      <w:r w:rsidRPr="00EC6EC5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 </w:t>
      </w:r>
    </w:p>
    <w:p w14:paraId="44680D2E" w14:textId="77777777" w:rsidR="005E7EAE" w:rsidRPr="00EC6EC5" w:rsidRDefault="005E7EAE" w:rsidP="005E7EAE">
      <w:pPr>
        <w:jc w:val="both"/>
        <w:rPr>
          <w:rFonts w:ascii="Arial" w:hAnsi="Arial" w:cs="Arial"/>
          <w:iCs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C6EC5">
        <w:rPr>
          <w:rFonts w:ascii="Arial" w:hAnsi="Arial" w:cs="Arial"/>
          <w:bCs/>
          <w:iCs/>
          <w:sz w:val="20"/>
          <w:szCs w:val="20"/>
        </w:rPr>
        <w:t>jedan (1)</w:t>
      </w:r>
    </w:p>
    <w:p w14:paraId="66CE76B9" w14:textId="7E1B63C4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4056D1B9" w14:textId="77777777" w:rsidR="005E7EAE" w:rsidRPr="00EC6EC5" w:rsidRDefault="005E7EAE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B63AED7" w14:textId="77777777" w:rsidR="005E7EAE" w:rsidRPr="00EC6EC5" w:rsidRDefault="005E7EAE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EEBF52C" w14:textId="2067DE2F" w:rsidR="005E7EAE" w:rsidRPr="00EC6EC5" w:rsidRDefault="005C3DC7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Odjel</w:t>
      </w:r>
      <w:r w:rsidR="005E7EAE"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za materijalno finan</w:t>
      </w:r>
      <w:r w:rsidR="00CD4AC6">
        <w:rPr>
          <w:rFonts w:ascii="Arial" w:hAnsi="Arial" w:cs="Arial"/>
          <w:bCs/>
          <w:iCs/>
          <w:color w:val="000000" w:themeColor="text1"/>
          <w:sz w:val="20"/>
          <w:szCs w:val="20"/>
        </w:rPr>
        <w:t>c</w:t>
      </w:r>
      <w:r w:rsidR="005E7EAE"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ijske poslove</w:t>
      </w:r>
    </w:p>
    <w:p w14:paraId="4D297898" w14:textId="77777777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CBD4E92" w14:textId="7A4478FE" w:rsidR="005E7EAE" w:rsidRPr="00EC6EC5" w:rsidRDefault="005E7EAE" w:rsidP="005E7EA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6EC5">
        <w:rPr>
          <w:rFonts w:ascii="Arial" w:hAnsi="Arial" w:cs="Arial"/>
          <w:b/>
          <w:sz w:val="20"/>
          <w:szCs w:val="20"/>
          <w:u w:val="single"/>
        </w:rPr>
        <w:t xml:space="preserve">1/04 </w:t>
      </w:r>
      <w:r w:rsidRPr="00EC6EC5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Viši stručni </w:t>
      </w:r>
      <w:r w:rsidR="005C3DC7">
        <w:rPr>
          <w:rFonts w:ascii="Arial" w:hAnsi="Arial" w:cs="Arial"/>
          <w:b/>
          <w:sz w:val="20"/>
          <w:szCs w:val="20"/>
          <w:u w:val="single"/>
          <w:lang w:eastAsia="hr-HR"/>
        </w:rPr>
        <w:t>suradnik</w:t>
      </w:r>
      <w:r w:rsidRPr="00EC6EC5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za </w:t>
      </w:r>
      <w:r w:rsidR="00413E6A">
        <w:rPr>
          <w:rFonts w:ascii="Arial" w:hAnsi="Arial" w:cs="Arial"/>
          <w:b/>
          <w:sz w:val="20"/>
          <w:szCs w:val="20"/>
          <w:u w:val="single"/>
          <w:lang w:eastAsia="hr-HR"/>
        </w:rPr>
        <w:t>proračun</w:t>
      </w:r>
      <w:r w:rsidRPr="00EC6EC5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, planiranje i </w:t>
      </w:r>
      <w:r w:rsidR="00413E6A">
        <w:rPr>
          <w:rFonts w:ascii="Arial" w:hAnsi="Arial" w:cs="Arial"/>
          <w:b/>
          <w:sz w:val="20"/>
          <w:szCs w:val="20"/>
          <w:u w:val="single"/>
          <w:lang w:eastAsia="hr-HR"/>
        </w:rPr>
        <w:t>izvješć</w:t>
      </w:r>
      <w:r w:rsidR="00CD4AC6">
        <w:rPr>
          <w:rFonts w:ascii="Arial" w:hAnsi="Arial" w:cs="Arial"/>
          <w:b/>
          <w:sz w:val="20"/>
          <w:szCs w:val="20"/>
          <w:u w:val="single"/>
          <w:lang w:eastAsia="hr-HR"/>
        </w:rPr>
        <w:t>e</w:t>
      </w:r>
    </w:p>
    <w:p w14:paraId="257C0351" w14:textId="50AF1F61" w:rsidR="005E7EAE" w:rsidRPr="00EC6EC5" w:rsidRDefault="005E7EAE" w:rsidP="005E7EAE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C6EC5">
        <w:rPr>
          <w:rFonts w:ascii="Arial" w:hAnsi="Arial" w:cs="Arial"/>
          <w:b/>
          <w:sz w:val="20"/>
          <w:szCs w:val="20"/>
        </w:rPr>
        <w:t>Opis poslova i radnih zadataka</w:t>
      </w:r>
      <w:r w:rsidRPr="00EC6EC5">
        <w:rPr>
          <w:rFonts w:ascii="Arial" w:hAnsi="Arial" w:cs="Arial"/>
          <w:sz w:val="20"/>
          <w:szCs w:val="20"/>
        </w:rPr>
        <w:t xml:space="preserve">: 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Odgovara za zakonito, blagovremeno, stručno i racionalno obavljane poslova planiranja </w:t>
      </w:r>
      <w:r w:rsidR="00413E6A">
        <w:rPr>
          <w:rFonts w:ascii="Arial" w:hAnsi="Arial" w:cs="Arial"/>
          <w:sz w:val="20"/>
          <w:szCs w:val="20"/>
          <w:lang w:eastAsia="hr-HR"/>
        </w:rPr>
        <w:t>proračun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 i izvršenja </w:t>
      </w:r>
      <w:r w:rsidR="00413E6A">
        <w:rPr>
          <w:rFonts w:ascii="Arial" w:hAnsi="Arial" w:cs="Arial"/>
          <w:sz w:val="20"/>
          <w:szCs w:val="20"/>
          <w:lang w:eastAsia="hr-HR"/>
        </w:rPr>
        <w:t>proračun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a, pomaže šefu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a i načelniku Sektora u pogledu primjene propisa i op</w:t>
      </w:r>
      <w:r w:rsidR="00CD4AC6">
        <w:rPr>
          <w:rFonts w:ascii="Arial" w:hAnsi="Arial" w:cs="Arial"/>
          <w:sz w:val="20"/>
          <w:szCs w:val="20"/>
          <w:lang w:eastAsia="hr-HR"/>
        </w:rPr>
        <w:t>ć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ih akata i ostalim pitanjima trošenja novčanih sredstava dodijeljenih Službi. </w:t>
      </w:r>
      <w:r w:rsidR="00CD4AC6">
        <w:rPr>
          <w:rFonts w:ascii="Arial" w:hAnsi="Arial" w:cs="Arial"/>
          <w:sz w:val="20"/>
          <w:szCs w:val="20"/>
          <w:lang w:eastAsia="hr-HR"/>
        </w:rPr>
        <w:t>Sudjeluje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u izradi finan</w:t>
      </w:r>
      <w:r w:rsidR="00CD4AC6">
        <w:rPr>
          <w:rFonts w:ascii="Arial" w:hAnsi="Arial" w:cs="Arial"/>
          <w:sz w:val="20"/>
          <w:szCs w:val="20"/>
          <w:lang w:eastAsia="hr-HR"/>
        </w:rPr>
        <w:t>c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ijskih planova za potrebe Službe kao i izadi mjesečnih, kvartalnih, periodičnih i godišnjih finan</w:t>
      </w:r>
      <w:r w:rsidR="00CD4AC6">
        <w:rPr>
          <w:rFonts w:ascii="Arial" w:hAnsi="Arial" w:cs="Arial"/>
          <w:sz w:val="20"/>
          <w:szCs w:val="20"/>
          <w:lang w:eastAsia="hr-HR"/>
        </w:rPr>
        <w:t>c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ijsko-računovodstvenih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 i završnih računa Službe, upravlja saldima na računima trezorskog poslovanja, priprema prijedloge ograničenja plaćanja </w:t>
      </w:r>
      <w:r w:rsidR="00EB0F5E">
        <w:rPr>
          <w:rFonts w:ascii="Arial" w:hAnsi="Arial" w:cs="Arial"/>
          <w:sz w:val="20"/>
          <w:szCs w:val="20"/>
          <w:lang w:eastAsia="hr-HR"/>
        </w:rPr>
        <w:t>sukladno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sa raspoloživim sredstvima, vrši zakonsku i računsku kontrolu unesenih obveza u ISFU sistem, vrši analizu i praćenje izvršavanja finan</w:t>
      </w:r>
      <w:r w:rsidR="00CD4AC6">
        <w:rPr>
          <w:rFonts w:ascii="Arial" w:hAnsi="Arial" w:cs="Arial"/>
          <w:sz w:val="20"/>
          <w:szCs w:val="20"/>
          <w:lang w:eastAsia="hr-HR"/>
        </w:rPr>
        <w:t>c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ijskih planova i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="00CD4AC6">
        <w:rPr>
          <w:rFonts w:ascii="Arial" w:hAnsi="Arial" w:cs="Arial"/>
          <w:sz w:val="20"/>
          <w:szCs w:val="20"/>
          <w:lang w:eastAsia="hr-HR"/>
        </w:rPr>
        <w:t>a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o svim finan</w:t>
      </w:r>
      <w:r w:rsidR="00CD4AC6">
        <w:rPr>
          <w:rFonts w:ascii="Arial" w:hAnsi="Arial" w:cs="Arial"/>
          <w:sz w:val="20"/>
          <w:szCs w:val="20"/>
          <w:lang w:eastAsia="hr-HR"/>
        </w:rPr>
        <w:t>c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ijskim tokovima Službe, vrši mjesečno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e šef</w:t>
      </w:r>
      <w:r w:rsidR="00CD4AC6">
        <w:rPr>
          <w:rFonts w:ascii="Arial" w:hAnsi="Arial" w:cs="Arial"/>
          <w:sz w:val="20"/>
          <w:szCs w:val="20"/>
          <w:lang w:eastAsia="hr-HR"/>
        </w:rPr>
        <w:t>u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 iz djelokuga rada i obavlja i druge poslove koje mu odredi šef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a. Neposredno odgovara šefu </w:t>
      </w:r>
      <w:r w:rsidR="005C3DC7">
        <w:rPr>
          <w:rFonts w:ascii="Arial" w:hAnsi="Arial" w:cs="Arial"/>
          <w:sz w:val="20"/>
          <w:szCs w:val="20"/>
          <w:lang w:eastAsia="hr-HR"/>
        </w:rPr>
        <w:t>Odjel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a kojem podnosi </w:t>
      </w:r>
      <w:r w:rsidR="00413E6A">
        <w:rPr>
          <w:rFonts w:ascii="Arial" w:hAnsi="Arial" w:cs="Arial"/>
          <w:sz w:val="20"/>
          <w:szCs w:val="20"/>
          <w:lang w:eastAsia="hr-HR"/>
        </w:rPr>
        <w:t>izvješć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a o radu.</w:t>
      </w:r>
    </w:p>
    <w:p w14:paraId="219810D2" w14:textId="61EF0D36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EC6EC5">
        <w:rPr>
          <w:rFonts w:ascii="Arial" w:hAnsi="Arial" w:cs="Arial"/>
          <w:b/>
          <w:sz w:val="20"/>
          <w:szCs w:val="20"/>
        </w:rPr>
        <w:t>Posebni uvjeti:</w:t>
      </w:r>
      <w:r w:rsidRPr="00EC6EC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Visoka stručna sprema (VII st</w:t>
      </w:r>
      <w:r w:rsidR="00A96554">
        <w:rPr>
          <w:rFonts w:ascii="Arial" w:hAnsi="Arial" w:cs="Arial"/>
          <w:sz w:val="20"/>
          <w:szCs w:val="20"/>
          <w:lang w:eastAsia="hr-HR"/>
        </w:rPr>
        <w:t>u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p</w:t>
      </w:r>
      <w:r w:rsidR="00A96554">
        <w:rPr>
          <w:rFonts w:ascii="Arial" w:hAnsi="Arial" w:cs="Arial"/>
          <w:sz w:val="20"/>
          <w:szCs w:val="20"/>
          <w:lang w:eastAsia="hr-HR"/>
        </w:rPr>
        <w:t>a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n</w:t>
      </w:r>
      <w:r w:rsidR="00A96554">
        <w:rPr>
          <w:rFonts w:ascii="Arial" w:hAnsi="Arial" w:cs="Arial"/>
          <w:sz w:val="20"/>
          <w:szCs w:val="20"/>
          <w:lang w:eastAsia="hr-HR"/>
        </w:rPr>
        <w:t>j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) - završen ekonomski fakultet</w:t>
      </w:r>
      <w:r w:rsidR="00E741F6">
        <w:rPr>
          <w:rFonts w:ascii="Arial" w:hAnsi="Arial" w:cs="Arial"/>
          <w:sz w:val="20"/>
          <w:szCs w:val="20"/>
          <w:lang w:eastAsia="hr-HR"/>
        </w:rPr>
        <w:t>;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najmanje 2 godine radnog iskustva u struci</w:t>
      </w:r>
      <w:r w:rsidR="00E741F6">
        <w:rPr>
          <w:rFonts w:ascii="Arial" w:hAnsi="Arial" w:cs="Arial"/>
          <w:sz w:val="20"/>
          <w:szCs w:val="20"/>
          <w:lang w:eastAsia="hr-HR"/>
        </w:rPr>
        <w:t>;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poznavanje rada na računa</w:t>
      </w:r>
      <w:r w:rsidR="00CD4AC6">
        <w:rPr>
          <w:rFonts w:ascii="Arial" w:hAnsi="Arial" w:cs="Arial"/>
          <w:sz w:val="20"/>
          <w:szCs w:val="20"/>
          <w:lang w:eastAsia="hr-HR"/>
        </w:rPr>
        <w:t>l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>u</w:t>
      </w:r>
      <w:r w:rsidR="00E741F6">
        <w:rPr>
          <w:rFonts w:ascii="Arial" w:hAnsi="Arial" w:cs="Arial"/>
          <w:sz w:val="20"/>
          <w:szCs w:val="20"/>
          <w:lang w:eastAsia="hr-HR"/>
        </w:rPr>
        <w:t>;</w:t>
      </w:r>
      <w:r w:rsidR="00743AFB" w:rsidRPr="00EC6EC5">
        <w:rPr>
          <w:rFonts w:ascii="Arial" w:hAnsi="Arial" w:cs="Arial"/>
          <w:sz w:val="20"/>
          <w:szCs w:val="20"/>
          <w:lang w:eastAsia="hr-HR"/>
        </w:rPr>
        <w:t xml:space="preserve"> položen stručni upravni ispit.</w:t>
      </w:r>
    </w:p>
    <w:p w14:paraId="61CA0C52" w14:textId="12BA8417" w:rsidR="005E7EAE" w:rsidRPr="00EC6EC5" w:rsidRDefault="005E7EAE" w:rsidP="005E7EAE">
      <w:pPr>
        <w:jc w:val="both"/>
        <w:rPr>
          <w:rFonts w:ascii="Arial" w:hAnsi="Arial" w:cs="Arial"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>Status:</w:t>
      </w:r>
      <w:r w:rsidRPr="00EC6EC5">
        <w:rPr>
          <w:rFonts w:ascii="Arial" w:hAnsi="Arial" w:cs="Arial"/>
          <w:iCs/>
          <w:sz w:val="20"/>
          <w:szCs w:val="20"/>
        </w:rPr>
        <w:t xml:space="preserve"> državni službenik –  </w:t>
      </w:r>
      <w:r w:rsidR="00743AFB" w:rsidRPr="00EC6EC5">
        <w:rPr>
          <w:rFonts w:ascii="Arial" w:hAnsi="Arial" w:cs="Arial"/>
          <w:iCs/>
          <w:sz w:val="20"/>
          <w:szCs w:val="20"/>
        </w:rPr>
        <w:t xml:space="preserve">viši stručni </w:t>
      </w:r>
      <w:r w:rsidR="005C3DC7">
        <w:rPr>
          <w:rFonts w:ascii="Arial" w:hAnsi="Arial" w:cs="Arial"/>
          <w:iCs/>
          <w:sz w:val="20"/>
          <w:szCs w:val="20"/>
        </w:rPr>
        <w:t>suradnik</w:t>
      </w:r>
      <w:r w:rsidR="00743AFB" w:rsidRPr="00EC6EC5">
        <w:rPr>
          <w:rFonts w:ascii="Arial" w:hAnsi="Arial" w:cs="Arial"/>
          <w:iCs/>
          <w:sz w:val="20"/>
          <w:szCs w:val="20"/>
        </w:rPr>
        <w:t>.</w:t>
      </w:r>
    </w:p>
    <w:p w14:paraId="1F47A34C" w14:textId="77777777" w:rsidR="005E7EAE" w:rsidRPr="00EC6EC5" w:rsidRDefault="005E7EAE" w:rsidP="005E7EAE">
      <w:pPr>
        <w:jc w:val="both"/>
        <w:rPr>
          <w:rFonts w:ascii="Arial" w:hAnsi="Arial" w:cs="Arial"/>
          <w:iCs/>
          <w:sz w:val="20"/>
          <w:szCs w:val="20"/>
        </w:rPr>
      </w:pPr>
      <w:r w:rsidRPr="00EC6EC5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C6EC5">
        <w:rPr>
          <w:rFonts w:ascii="Arial" w:hAnsi="Arial" w:cs="Arial"/>
          <w:bCs/>
          <w:iCs/>
          <w:sz w:val="20"/>
          <w:szCs w:val="20"/>
        </w:rPr>
        <w:t>jedan (1)</w:t>
      </w:r>
    </w:p>
    <w:p w14:paraId="1A50579B" w14:textId="00F44D3E" w:rsidR="005E7EAE" w:rsidRPr="00EC6EC5" w:rsidRDefault="005E7EAE" w:rsidP="005E7EA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C6EC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743AFB" w:rsidRPr="00EC6EC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483462C1" w14:textId="77777777" w:rsidR="005E7EAE" w:rsidRPr="00EC6EC5" w:rsidRDefault="005E7EAE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D87A397" w14:textId="77777777" w:rsidR="00D359DC" w:rsidRPr="00EC6EC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6"/>
    <w:p w14:paraId="7A07FD02" w14:textId="6BEC5D5E" w:rsidR="00F26D91" w:rsidRPr="00EC6EC5" w:rsidRDefault="00D02D0F" w:rsidP="00F26D91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C6EC5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EC6EC5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C6EC5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EC6EC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C6EC5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F26D91" w:rsidRPr="00EC6EC5">
        <w:rPr>
          <w:rFonts w:ascii="Arial" w:hAnsi="Arial" w:cs="Arial"/>
          <w:b/>
          <w:i/>
          <w:sz w:val="20"/>
          <w:szCs w:val="20"/>
          <w:u w:val="single"/>
        </w:rPr>
        <w:t xml:space="preserve"> Služb</w:t>
      </w:r>
      <w:r w:rsidR="00413E6A"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="00F26D91" w:rsidRPr="00EC6EC5">
        <w:rPr>
          <w:rFonts w:ascii="Arial" w:hAnsi="Arial" w:cs="Arial"/>
          <w:b/>
          <w:i/>
          <w:sz w:val="20"/>
          <w:szCs w:val="20"/>
          <w:u w:val="single"/>
        </w:rPr>
        <w:t xml:space="preserve"> za poslove sa strancima</w:t>
      </w:r>
      <w:r w:rsidR="00F26D91" w:rsidRPr="00EC6EC5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</w:p>
    <w:p w14:paraId="571ADE34" w14:textId="196C39D5" w:rsidR="00F96AC6" w:rsidRPr="00EE514F" w:rsidRDefault="00F96AC6" w:rsidP="00F26D91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9B37F1D" w14:textId="77777777" w:rsidR="00EC6EC5" w:rsidRDefault="00EC6EC5" w:rsidP="00EC6EC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4F285E14" w14:textId="2780DD77" w:rsidR="00EC6EC5" w:rsidRDefault="00EC6EC5" w:rsidP="00EC6EC5">
      <w:pPr>
        <w:pStyle w:val="NormalWeb"/>
        <w:spacing w:before="0" w:beforeAutospacing="0" w:after="0" w:afterAutospacing="0"/>
        <w:ind w:right="27"/>
        <w:jc w:val="both"/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hr-BA"/>
        </w:rPr>
      </w:pPr>
      <w:r w:rsidRPr="003D6BE5"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hr-BA"/>
        </w:rPr>
        <w:t>Dodatna napomena:</w:t>
      </w:r>
    </w:p>
    <w:p w14:paraId="617497F8" w14:textId="0869972D" w:rsidR="003D6BE5" w:rsidRDefault="003D6BE5" w:rsidP="00500EB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00EBA">
        <w:rPr>
          <w:rFonts w:ascii="Arial" w:hAnsi="Arial" w:cs="Arial"/>
          <w:sz w:val="20"/>
          <w:szCs w:val="20"/>
        </w:rPr>
        <w:t>Prije postavljenja, odnosno prijama u radni odnos, za sve kandidate sa liste uspješnih kandidata</w:t>
      </w:r>
      <w:r w:rsidR="009F76C3" w:rsidRPr="009F76C3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 xml:space="preserve"> </w:t>
      </w:r>
      <w:r w:rsidR="009F76C3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>za radna mjesta pod rednim brojem 1/01 i 1/02,</w:t>
      </w:r>
      <w:r w:rsidR="009F76C3"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 xml:space="preserve"> </w:t>
      </w:r>
      <w:r w:rsidRPr="00500EBA">
        <w:rPr>
          <w:rFonts w:ascii="Arial" w:hAnsi="Arial" w:cs="Arial"/>
          <w:sz w:val="20"/>
          <w:szCs w:val="20"/>
        </w:rPr>
        <w:t xml:space="preserve">obavit će se sigurnosne provjere sukladno postupku za izdavanje dozvole za pristup tajnim podacima određenog stupnja povjerljivosti, shodno odredbi čl. 30. i 31. Zakona o </w:t>
      </w:r>
      <w:r w:rsidRPr="00500EBA">
        <w:rPr>
          <w:rFonts w:ascii="Arial" w:hAnsi="Arial" w:cs="Arial"/>
          <w:sz w:val="20"/>
          <w:szCs w:val="20"/>
        </w:rPr>
        <w:lastRenderedPageBreak/>
        <w:t>zaštiti tajnih podataka („Službeni glasnik BiH“ br. 54/04 i 12/09), kao i odredbama podzakonskih, te internih akata institucije donesenih na temelju navedenog Zakona.</w:t>
      </w:r>
    </w:p>
    <w:p w14:paraId="50F6F1AA" w14:textId="31DB3059" w:rsidR="003D6BE5" w:rsidRPr="00500EBA" w:rsidRDefault="003D6BE5" w:rsidP="00500EB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00EBA">
        <w:rPr>
          <w:rFonts w:ascii="Arial" w:hAnsi="Arial" w:cs="Arial"/>
          <w:sz w:val="20"/>
          <w:szCs w:val="20"/>
        </w:rPr>
        <w:t>Sukladno sa člankom 31. Zakona o zaštiti tajnih podataka neće se izvršiti postavljenje, odnosno imenovanje kandidata, za kojeg se nakon plasmana na listu uspješnih kandidata ustvrdi sigurnosna smetnja.</w:t>
      </w:r>
    </w:p>
    <w:p w14:paraId="2F524109" w14:textId="4DAE5EAC" w:rsidR="00F96AC6" w:rsidRPr="00EE514F" w:rsidRDefault="00F96AC6" w:rsidP="003D6BE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619BE802" w:rsidR="00F96AC6" w:rsidRPr="00EE514F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="00F96AC6"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="00F96AC6"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="00F96AC6"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="00F96AC6"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="00F96AC6"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="00F96AC6"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="00F96AC6"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="00F96AC6"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29EB2E08" w14:textId="22C5DD6D" w:rsidR="00DF4E33" w:rsidRPr="00AA2450" w:rsidRDefault="003465E5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</w:t>
      </w:r>
      <w:r w:rsidR="009A1B08">
        <w:rPr>
          <w:rFonts w:ascii="Arial" w:hAnsi="Arial" w:cs="Arial"/>
          <w:sz w:val="20"/>
          <w:szCs w:val="20"/>
        </w:rPr>
        <w:t xml:space="preserve"> (izuzev za poziciju 1/04)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>;</w:t>
      </w:r>
    </w:p>
    <w:p w14:paraId="20866256" w14:textId="7F8609B2" w:rsidR="00FC3E92" w:rsidRPr="00D77600" w:rsidRDefault="00FC3E92" w:rsidP="005557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F4E33">
        <w:rPr>
          <w:rFonts w:ascii="Arial" w:hAnsi="Arial" w:cs="Arial"/>
          <w:sz w:val="20"/>
          <w:szCs w:val="20"/>
        </w:rPr>
        <w:t>dokaza o traženoj razini znanja rada na računalu</w:t>
      </w:r>
      <w:r w:rsidR="00C40386" w:rsidRPr="00DF4E33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545AA5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D950C7" w:rsidRPr="00D950C7">
        <w:rPr>
          <w:rFonts w:ascii="Arial" w:hAnsi="Arial" w:cs="Arial"/>
          <w:b/>
          <w:bCs/>
          <w:sz w:val="20"/>
          <w:szCs w:val="20"/>
          <w:u w:val="single"/>
        </w:rPr>
        <w:t>06.12</w:t>
      </w:r>
      <w:r w:rsidR="00C5013D" w:rsidRPr="00D950C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D950C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D950C7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D950C7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D950C7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9AA83C0" w14:textId="65A3CC2C" w:rsidR="007F0AD3" w:rsidRPr="007F0AD3" w:rsidRDefault="007F0AD3" w:rsidP="007F0AD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9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Služba za poslove sa strancima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End w:id="9"/>
    </w:p>
    <w:p w14:paraId="46802C45" w14:textId="1BBF1292" w:rsidR="00D02D0F" w:rsidRPr="007F0AD3" w:rsidRDefault="00FC3E92" w:rsidP="007F0AD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7F0AD3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7F0AD3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7F0AD3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Služb</w:t>
      </w:r>
      <w:r w:rsidR="005C3DC7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</w:t>
      </w:r>
      <w:r w:rsidR="007F0AD3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poslove sa strancima</w:t>
      </w:r>
      <w:r w:rsidR="006236C9"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461A63A4" w14:textId="0E288F2E" w:rsidR="006236C9" w:rsidRPr="00A95E19" w:rsidRDefault="007F0AD3" w:rsidP="006236C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 transvezala-Michael Schumacher 10,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71</w:t>
      </w:r>
      <w:r w:rsidR="00CE0E5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CE0E5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6236C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BFF"/>
    <w:multiLevelType w:val="hybridMultilevel"/>
    <w:tmpl w:val="3654C298"/>
    <w:lvl w:ilvl="0" w:tplc="0394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3CA"/>
    <w:multiLevelType w:val="hybridMultilevel"/>
    <w:tmpl w:val="BB9E4954"/>
    <w:lvl w:ilvl="0" w:tplc="10A87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6A55"/>
    <w:multiLevelType w:val="hybridMultilevel"/>
    <w:tmpl w:val="6FDE35B6"/>
    <w:lvl w:ilvl="0" w:tplc="5C022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10"/>
  </w:num>
  <w:num w:numId="3" w16cid:durableId="1006320147">
    <w:abstractNumId w:val="1"/>
  </w:num>
  <w:num w:numId="4" w16cid:durableId="2146116956">
    <w:abstractNumId w:val="6"/>
  </w:num>
  <w:num w:numId="5" w16cid:durableId="1175608370">
    <w:abstractNumId w:val="8"/>
  </w:num>
  <w:num w:numId="6" w16cid:durableId="784079342">
    <w:abstractNumId w:val="3"/>
  </w:num>
  <w:num w:numId="7" w16cid:durableId="2070691328">
    <w:abstractNumId w:val="4"/>
  </w:num>
  <w:num w:numId="8" w16cid:durableId="1710647652">
    <w:abstractNumId w:val="2"/>
  </w:num>
  <w:num w:numId="9" w16cid:durableId="595940614">
    <w:abstractNumId w:val="0"/>
  </w:num>
  <w:num w:numId="10" w16cid:durableId="459541401">
    <w:abstractNumId w:val="7"/>
  </w:num>
  <w:num w:numId="11" w16cid:durableId="1699502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EFC"/>
    <w:rsid w:val="00016DD0"/>
    <w:rsid w:val="00064565"/>
    <w:rsid w:val="00066584"/>
    <w:rsid w:val="00095227"/>
    <w:rsid w:val="00095F5C"/>
    <w:rsid w:val="000A1143"/>
    <w:rsid w:val="000B4469"/>
    <w:rsid w:val="000C1D68"/>
    <w:rsid w:val="000C56CE"/>
    <w:rsid w:val="000E2F10"/>
    <w:rsid w:val="000F20F2"/>
    <w:rsid w:val="000F4FAB"/>
    <w:rsid w:val="000F5F2D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61AF"/>
    <w:rsid w:val="002625FB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21672"/>
    <w:rsid w:val="00333154"/>
    <w:rsid w:val="003465E5"/>
    <w:rsid w:val="00363EBA"/>
    <w:rsid w:val="00366396"/>
    <w:rsid w:val="00387C22"/>
    <w:rsid w:val="003A205C"/>
    <w:rsid w:val="003B06ED"/>
    <w:rsid w:val="003B1965"/>
    <w:rsid w:val="003B34B2"/>
    <w:rsid w:val="003C22E1"/>
    <w:rsid w:val="003D6BE5"/>
    <w:rsid w:val="003E0010"/>
    <w:rsid w:val="003E1A64"/>
    <w:rsid w:val="003F3450"/>
    <w:rsid w:val="003F626B"/>
    <w:rsid w:val="00413E6A"/>
    <w:rsid w:val="00420D8E"/>
    <w:rsid w:val="00424265"/>
    <w:rsid w:val="0042639E"/>
    <w:rsid w:val="00426E82"/>
    <w:rsid w:val="0044074F"/>
    <w:rsid w:val="004460E1"/>
    <w:rsid w:val="00450F33"/>
    <w:rsid w:val="00461E84"/>
    <w:rsid w:val="004712E9"/>
    <w:rsid w:val="00487538"/>
    <w:rsid w:val="00493B23"/>
    <w:rsid w:val="004D1A03"/>
    <w:rsid w:val="004D2F29"/>
    <w:rsid w:val="004D7CD2"/>
    <w:rsid w:val="004E17C2"/>
    <w:rsid w:val="004E5A3B"/>
    <w:rsid w:val="00500EBA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94764"/>
    <w:rsid w:val="005B1AAC"/>
    <w:rsid w:val="005C2DCD"/>
    <w:rsid w:val="005C3DC7"/>
    <w:rsid w:val="005D121C"/>
    <w:rsid w:val="005E7EAE"/>
    <w:rsid w:val="00610A93"/>
    <w:rsid w:val="00614176"/>
    <w:rsid w:val="006236C9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6D3CDE"/>
    <w:rsid w:val="006E2B25"/>
    <w:rsid w:val="00714DC7"/>
    <w:rsid w:val="00734B29"/>
    <w:rsid w:val="00734E3F"/>
    <w:rsid w:val="00743AFB"/>
    <w:rsid w:val="007521FE"/>
    <w:rsid w:val="0077255B"/>
    <w:rsid w:val="00787712"/>
    <w:rsid w:val="007B38BC"/>
    <w:rsid w:val="007C52AA"/>
    <w:rsid w:val="007E7C4B"/>
    <w:rsid w:val="007F0AD3"/>
    <w:rsid w:val="007F3D25"/>
    <w:rsid w:val="00811241"/>
    <w:rsid w:val="00811C09"/>
    <w:rsid w:val="00811D3C"/>
    <w:rsid w:val="0082640A"/>
    <w:rsid w:val="00834E94"/>
    <w:rsid w:val="00837955"/>
    <w:rsid w:val="00850FB2"/>
    <w:rsid w:val="00855ECD"/>
    <w:rsid w:val="00867703"/>
    <w:rsid w:val="00871A41"/>
    <w:rsid w:val="0087543C"/>
    <w:rsid w:val="00897124"/>
    <w:rsid w:val="00897ABA"/>
    <w:rsid w:val="008D547D"/>
    <w:rsid w:val="008D7187"/>
    <w:rsid w:val="00920EBA"/>
    <w:rsid w:val="00933063"/>
    <w:rsid w:val="00934279"/>
    <w:rsid w:val="00941ADF"/>
    <w:rsid w:val="009501F6"/>
    <w:rsid w:val="00963747"/>
    <w:rsid w:val="00970088"/>
    <w:rsid w:val="009706AD"/>
    <w:rsid w:val="00984CA0"/>
    <w:rsid w:val="00990702"/>
    <w:rsid w:val="009A1B08"/>
    <w:rsid w:val="009B074B"/>
    <w:rsid w:val="009B2158"/>
    <w:rsid w:val="009D579B"/>
    <w:rsid w:val="009F76C3"/>
    <w:rsid w:val="00A050AB"/>
    <w:rsid w:val="00A07F7E"/>
    <w:rsid w:val="00A34B19"/>
    <w:rsid w:val="00A44050"/>
    <w:rsid w:val="00A50C18"/>
    <w:rsid w:val="00A527DA"/>
    <w:rsid w:val="00A80221"/>
    <w:rsid w:val="00A83E4E"/>
    <w:rsid w:val="00A9062B"/>
    <w:rsid w:val="00A96554"/>
    <w:rsid w:val="00AA482A"/>
    <w:rsid w:val="00AA5505"/>
    <w:rsid w:val="00AC0427"/>
    <w:rsid w:val="00AC689B"/>
    <w:rsid w:val="00AF4858"/>
    <w:rsid w:val="00AF4AF3"/>
    <w:rsid w:val="00AF58C9"/>
    <w:rsid w:val="00B25204"/>
    <w:rsid w:val="00B30D6F"/>
    <w:rsid w:val="00B3462F"/>
    <w:rsid w:val="00B46FDB"/>
    <w:rsid w:val="00B737E9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D4AC6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46C0"/>
    <w:rsid w:val="00D756AD"/>
    <w:rsid w:val="00D77600"/>
    <w:rsid w:val="00D84E03"/>
    <w:rsid w:val="00D85DE5"/>
    <w:rsid w:val="00D87D15"/>
    <w:rsid w:val="00D950C7"/>
    <w:rsid w:val="00DA0604"/>
    <w:rsid w:val="00DB3901"/>
    <w:rsid w:val="00DC7EBC"/>
    <w:rsid w:val="00DD5707"/>
    <w:rsid w:val="00DD64CD"/>
    <w:rsid w:val="00DF4E33"/>
    <w:rsid w:val="00E05DFC"/>
    <w:rsid w:val="00E20848"/>
    <w:rsid w:val="00E2338C"/>
    <w:rsid w:val="00E3031C"/>
    <w:rsid w:val="00E3582F"/>
    <w:rsid w:val="00E43299"/>
    <w:rsid w:val="00E60FEE"/>
    <w:rsid w:val="00E72F55"/>
    <w:rsid w:val="00E73452"/>
    <w:rsid w:val="00E741F6"/>
    <w:rsid w:val="00E82A0B"/>
    <w:rsid w:val="00E82C5B"/>
    <w:rsid w:val="00E85434"/>
    <w:rsid w:val="00E86B8B"/>
    <w:rsid w:val="00E975DC"/>
    <w:rsid w:val="00EA3BE8"/>
    <w:rsid w:val="00EA4520"/>
    <w:rsid w:val="00EA473F"/>
    <w:rsid w:val="00EA670D"/>
    <w:rsid w:val="00EB0F5E"/>
    <w:rsid w:val="00EB5578"/>
    <w:rsid w:val="00EC6DBA"/>
    <w:rsid w:val="00EC6EC5"/>
    <w:rsid w:val="00EE514F"/>
    <w:rsid w:val="00F153EB"/>
    <w:rsid w:val="00F203F0"/>
    <w:rsid w:val="00F226AE"/>
    <w:rsid w:val="00F26D91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EC6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163</cp:revision>
  <cp:lastPrinted>2023-11-22T09:00:00Z</cp:lastPrinted>
  <dcterms:created xsi:type="dcterms:W3CDTF">2023-08-22T13:13:00Z</dcterms:created>
  <dcterms:modified xsi:type="dcterms:W3CDTF">2024-11-20T14:25:00Z</dcterms:modified>
</cp:coreProperties>
</file>