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F364" w14:textId="447EDB82" w:rsidR="002232C3" w:rsidRPr="002232C3" w:rsidRDefault="00F96AC6" w:rsidP="002232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temelju članka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1C517F">
        <w:rPr>
          <w:rFonts w:ascii="Arial" w:hAnsi="Arial" w:cs="Arial"/>
          <w:sz w:val="20"/>
          <w:szCs w:val="20"/>
          <w:lang w:val="sr-Latn-BA"/>
        </w:rPr>
        <w:t>s</w:t>
      </w:r>
      <w:r w:rsidRPr="001C517F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2232C3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2232C3" w:rsidRPr="002232C3">
        <w:rPr>
          <w:rFonts w:ascii="Arial" w:hAnsi="Arial" w:cs="Arial"/>
          <w:sz w:val="20"/>
          <w:szCs w:val="20"/>
          <w:lang w:val="sr-Latn-BA"/>
        </w:rPr>
        <w:t xml:space="preserve">na zahtjev Državne </w:t>
      </w:r>
      <w:r w:rsidR="00215B52">
        <w:rPr>
          <w:rFonts w:ascii="Arial" w:hAnsi="Arial" w:cs="Arial"/>
          <w:sz w:val="20"/>
          <w:szCs w:val="20"/>
          <w:lang w:val="sr-Latn-BA"/>
        </w:rPr>
        <w:t>regulativne</w:t>
      </w:r>
      <w:r w:rsidR="002232C3" w:rsidRPr="002232C3">
        <w:rPr>
          <w:rFonts w:ascii="Arial" w:hAnsi="Arial" w:cs="Arial"/>
          <w:sz w:val="20"/>
          <w:szCs w:val="20"/>
          <w:lang w:val="sr-Latn-BA"/>
        </w:rPr>
        <w:t xml:space="preserve"> agencije za radijacijsku i nuklearnu sigurnost Bosne i Hercegovine, raspisuje</w:t>
      </w:r>
    </w:p>
    <w:p w14:paraId="2A1B154D" w14:textId="77777777" w:rsidR="002232C3" w:rsidRPr="002232C3" w:rsidRDefault="002232C3" w:rsidP="002232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C0CF9DF" w14:textId="77777777" w:rsidR="002232C3" w:rsidRPr="002232C3" w:rsidRDefault="002232C3" w:rsidP="002232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8DAC41E" w14:textId="16F179BF" w:rsidR="002232C3" w:rsidRPr="002232C3" w:rsidRDefault="002232C3" w:rsidP="002232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2232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0BA28027" w14:textId="29014446" w:rsidR="002232C3" w:rsidRPr="002232C3" w:rsidRDefault="002232C3" w:rsidP="002232C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bookmarkStart w:id="0" w:name="_Hlk124244082"/>
      <w:r w:rsidRPr="002232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 radnog mjesta rukovodećeg državnog službenika u</w:t>
      </w:r>
    </w:p>
    <w:p w14:paraId="741B160E" w14:textId="6E351B16" w:rsidR="002232C3" w:rsidRPr="002232C3" w:rsidRDefault="002232C3" w:rsidP="002232C3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2232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Državnoj </w:t>
      </w:r>
      <w:r w:rsidR="00215B5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regulativnoj</w:t>
      </w:r>
      <w:r w:rsidRPr="002232C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agenciji za radijacijsku i nuklearnu sigurnost Bosne i Hercegovine</w:t>
      </w:r>
    </w:p>
    <w:p w14:paraId="4E2A18A3" w14:textId="77777777" w:rsidR="002232C3" w:rsidRPr="002232C3" w:rsidRDefault="002232C3" w:rsidP="002232C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000014D" w14:textId="4A169719" w:rsidR="002232C3" w:rsidRPr="002232C3" w:rsidRDefault="002232C3" w:rsidP="002232C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1" w:name="_Hlk124254531"/>
      <w:r w:rsidRPr="002232C3">
        <w:rPr>
          <w:rFonts w:ascii="Arial" w:hAnsi="Arial" w:cs="Arial"/>
          <w:b/>
          <w:bCs/>
          <w:sz w:val="20"/>
          <w:szCs w:val="20"/>
          <w:lang w:val="sr-Latn-BA"/>
        </w:rPr>
        <w:t>1/01 Šef ureda- pomoćnik ravnatelja</w:t>
      </w:r>
    </w:p>
    <w:p w14:paraId="5B3EC9E0" w14:textId="77777777" w:rsidR="002232C3" w:rsidRPr="002232C3" w:rsidRDefault="002232C3" w:rsidP="002232C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2D38D97" w14:textId="77777777" w:rsidR="002232C3" w:rsidRPr="002232C3" w:rsidRDefault="002232C3" w:rsidP="002232C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8EB8CF5" w14:textId="77777777" w:rsidR="002232C3" w:rsidRPr="002232C3" w:rsidRDefault="002232C3" w:rsidP="002232C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>URED DIREKTORA</w:t>
      </w:r>
    </w:p>
    <w:p w14:paraId="5F8B6832" w14:textId="77777777" w:rsidR="002232C3" w:rsidRPr="002232C3" w:rsidRDefault="002232C3" w:rsidP="002232C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229342A" w14:textId="7E9F6B13" w:rsidR="002232C3" w:rsidRPr="002232C3" w:rsidRDefault="002232C3" w:rsidP="002232C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2232C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ureda - pomoćnik ravnatelja</w:t>
      </w:r>
    </w:p>
    <w:p w14:paraId="01C2D540" w14:textId="38C9B829" w:rsidR="002232C3" w:rsidRPr="002232C3" w:rsidRDefault="002232C3" w:rsidP="002232C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2232C3">
        <w:rPr>
          <w:rFonts w:ascii="Arial" w:hAnsi="Arial" w:cs="Arial"/>
          <w:sz w:val="20"/>
          <w:szCs w:val="20"/>
          <w:lang w:val="sr-Latn-BA"/>
        </w:rPr>
        <w:t>: Rukovodi uredom, neposredno organizira i koordinira obavljanje poslova u uredu, daje upute za rad i pruža stručnu pomoć za obavljanje određenih poslova i zadataka, organizira sastanke kojim rukovodi ravnatelj, vodi evidenciju povjerljive i strogo povjerljive pošte, vodi evidenciju o pečatima agencije, brine o izvršenju protokolarnih obveza ravnatelja i priprema sjednice stručnog kolegija i stara se o provođenju njegovih zaključaka. Obavlja i druge poslove po nalogu ravnatelja.</w:t>
      </w:r>
    </w:p>
    <w:p w14:paraId="2A7BAF40" w14:textId="3160A609" w:rsidR="002232C3" w:rsidRPr="002232C3" w:rsidRDefault="002232C3" w:rsidP="002232C3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2232C3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D8791D">
        <w:rPr>
          <w:rFonts w:ascii="Arial" w:hAnsi="Arial" w:cs="Arial"/>
          <w:b/>
          <w:sz w:val="20"/>
          <w:szCs w:val="20"/>
          <w:lang w:val="sr-Latn-BA"/>
        </w:rPr>
        <w:t>jet</w:t>
      </w:r>
      <w:r w:rsidRPr="002232C3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2232C3">
        <w:rPr>
          <w:rFonts w:ascii="Arial" w:hAnsi="Arial" w:cs="Arial"/>
          <w:bCs/>
          <w:sz w:val="20"/>
          <w:szCs w:val="20"/>
          <w:lang w:val="sr-Latn-BA"/>
        </w:rPr>
        <w:t>pravni, ekonomski ili drugi fakultet društvenog smjera; najmanje 5 godina radnog iskustva u struci; položen stručni upravni ispit; poznavanje engleskog jezika; znanje rada na računalu.</w:t>
      </w:r>
    </w:p>
    <w:p w14:paraId="65FF0129" w14:textId="33FD116C" w:rsidR="002232C3" w:rsidRPr="002232C3" w:rsidRDefault="002232C3" w:rsidP="002232C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2232C3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2232C3">
        <w:rPr>
          <w:rFonts w:ascii="Arial" w:hAnsi="Arial" w:cs="Arial"/>
          <w:iCs/>
          <w:sz w:val="20"/>
          <w:szCs w:val="20"/>
          <w:lang w:val="sr-Latn-BA"/>
        </w:rPr>
        <w:t xml:space="preserve"> rukovodeći državni službenik – pomoćnik ravnatelja.</w:t>
      </w:r>
    </w:p>
    <w:p w14:paraId="02DC6F12" w14:textId="01591A89" w:rsidR="002232C3" w:rsidRPr="002232C3" w:rsidRDefault="002232C3" w:rsidP="002232C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2232C3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D8791D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2232C3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 w:rsidRPr="002232C3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D9DAB9A" w14:textId="77777777" w:rsidR="002232C3" w:rsidRPr="002232C3" w:rsidRDefault="002232C3" w:rsidP="002232C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2232C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2232C3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p w14:paraId="04CD1748" w14:textId="77777777" w:rsidR="002232C3" w:rsidRPr="002232C3" w:rsidRDefault="002232C3" w:rsidP="002232C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B02D197" w14:textId="77777777" w:rsidR="002232C3" w:rsidRPr="002232C3" w:rsidRDefault="002232C3" w:rsidP="002232C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62F5CAE" w14:textId="388DD117" w:rsidR="002232C3" w:rsidRPr="00322B65" w:rsidRDefault="002232C3" w:rsidP="002232C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2232C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službenici u Državnoj </w:t>
      </w:r>
      <w:r w:rsidR="00215B5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regulativnoj</w:t>
      </w:r>
      <w:r w:rsidRPr="002232C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agenciji za radijacijsku i nuklearnu sigurnost BiH.</w:t>
      </w:r>
    </w:p>
    <w:bookmarkEnd w:id="0"/>
    <w:bookmarkEnd w:id="1"/>
    <w:p w14:paraId="6FDAB88D" w14:textId="22035C59" w:rsidR="00D02D0F" w:rsidRPr="00795EF7" w:rsidRDefault="00D02D0F" w:rsidP="002232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71ADE34" w14:textId="196C39D5" w:rsidR="00F96AC6" w:rsidRPr="00795EF7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795EF7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95EF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1C517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95EF7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795EF7">
        <w:rPr>
          <w:rFonts w:ascii="Arial" w:hAnsi="Arial" w:cs="Arial"/>
          <w:sz w:val="20"/>
          <w:szCs w:val="20"/>
          <w:lang w:val="sr-Latn-BA"/>
        </w:rPr>
        <w:t>sukladno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odredbama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Pravilnika o </w:t>
      </w:r>
      <w:r w:rsidR="00066584" w:rsidRPr="001C517F">
        <w:rPr>
          <w:rFonts w:ascii="Arial" w:hAnsi="Arial" w:cs="Arial"/>
          <w:sz w:val="20"/>
          <w:szCs w:val="20"/>
          <w:lang w:val="sr-Latn-BA"/>
        </w:rPr>
        <w:t>uvjetima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1C517F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1C517F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1C517F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1C517F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1C517F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1C517F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1C517F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1C517F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1C517F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h 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kom 22. stavak 1. to</w:t>
      </w:r>
      <w:r w:rsidRPr="001C517F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kaznenog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517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1C517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1C517F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1C517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2232C3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lastRenderedPageBreak/>
        <w:t xml:space="preserve">S 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svezi s tim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ice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1C517F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1C517F">
        <w:rPr>
          <w:rFonts w:ascii="Arial" w:hAnsi="Arial" w:cs="Arial"/>
          <w:sz w:val="20"/>
          <w:szCs w:val="20"/>
          <w:lang w:val="sr-Latn-BA"/>
        </w:rPr>
        <w:t>sveučilišnu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1C517F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; dokaz o traženoj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razini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l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2232C3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2232C3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2232C3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2232C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2232C3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2232C3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2232C3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2232C3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 w:rsidRPr="002232C3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 w:rsidRPr="002232C3">
        <w:rPr>
          <w:rFonts w:ascii="Arial" w:hAnsi="Arial" w:cs="Arial"/>
          <w:sz w:val="20"/>
          <w:szCs w:val="20"/>
          <w:lang w:val="sr-Latn-BA"/>
        </w:rPr>
        <w:t>sustav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2232C3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2232C3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2232C3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2232C3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2232C3" w:rsidRDefault="00D7548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2232C3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2232C3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2232C3" w:rsidRDefault="00D7548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2232C3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2232C3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2232C3" w:rsidRDefault="00D75483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2232C3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2232C3">
        <w:rPr>
          <w:rFonts w:ascii="Arial" w:hAnsi="Arial" w:cs="Arial"/>
          <w:sz w:val="20"/>
          <w:szCs w:val="20"/>
          <w:lang w:val="sr-Latn-BA"/>
        </w:rPr>
        <w:t>;</w:t>
      </w:r>
    </w:p>
    <w:p w14:paraId="5700E5C4" w14:textId="2AE05274" w:rsidR="00D02D0F" w:rsidRPr="002232C3" w:rsidRDefault="00FC3E92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>dokaza o traženoj razini znanja stranog jezika</w:t>
      </w:r>
      <w:r w:rsidR="0010401A" w:rsidRPr="002232C3"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2232C3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2232C3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2232C3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2232C3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2232C3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2232C3">
        <w:rPr>
          <w:rFonts w:ascii="Arial" w:hAnsi="Arial" w:cs="Arial"/>
          <w:sz w:val="20"/>
          <w:szCs w:val="20"/>
          <w:lang w:val="sr-Latn-BA"/>
        </w:rPr>
        <w:t>.</w:t>
      </w:r>
      <w:r w:rsidR="001109C9" w:rsidRPr="002232C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2232C3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2232C3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2232C3">
        <w:rPr>
          <w:rFonts w:ascii="Arial" w:hAnsi="Arial" w:cs="Arial"/>
          <w:sz w:val="20"/>
          <w:szCs w:val="20"/>
          <w:lang w:val="sr-Latn-BA"/>
        </w:rPr>
        <w:t>uvjeta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2232C3">
        <w:rPr>
          <w:rFonts w:ascii="Arial" w:hAnsi="Arial" w:cs="Arial"/>
          <w:sz w:val="20"/>
          <w:szCs w:val="20"/>
          <w:lang w:val="sr-Latn-BA"/>
        </w:rPr>
        <w:t>natječaja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2232C3">
        <w:rPr>
          <w:rFonts w:ascii="Arial" w:hAnsi="Arial" w:cs="Arial"/>
          <w:sz w:val="20"/>
          <w:szCs w:val="20"/>
          <w:lang w:val="sr-Latn-BA"/>
        </w:rPr>
        <w:t>tijelu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2232C3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2232C3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2232C3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2232C3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2232C3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2232C3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2232C3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2232C3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0ABE9F51" w:rsidR="00F96AC6" w:rsidRPr="002232C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2232C3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D7548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75483">
        <w:rPr>
          <w:rFonts w:ascii="Arial" w:hAnsi="Arial" w:cs="Arial"/>
          <w:b/>
          <w:sz w:val="20"/>
          <w:szCs w:val="20"/>
          <w:u w:val="single"/>
          <w:lang w:val="sr-Latn-BA"/>
        </w:rPr>
        <w:t>16.02.</w:t>
      </w:r>
      <w:r w:rsidR="001109C9"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02</w:t>
      </w:r>
      <w:r w:rsidR="00D02D0F"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2232C3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2232C3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2232C3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AEB42F9" w14:textId="6D4D605E" w:rsidR="002232C3" w:rsidRPr="002232C3" w:rsidRDefault="002232C3" w:rsidP="002232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24244283"/>
      <w:bookmarkStart w:id="3" w:name="_Hlk118716499"/>
      <w:bookmarkStart w:id="4" w:name="_Hlk118715968"/>
      <w:r w:rsidRPr="002232C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Državna regulat</w:t>
      </w:r>
      <w:r w:rsidR="00215B5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ivn</w:t>
      </w:r>
      <w:r w:rsidRPr="002232C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 agencija za radijacijsku i nuklearnu sigurnost BiH </w:t>
      </w:r>
    </w:p>
    <w:bookmarkEnd w:id="2"/>
    <w:p w14:paraId="0E751E15" w14:textId="61CC48E3" w:rsidR="002232C3" w:rsidRPr="002232C3" w:rsidRDefault="002232C3" w:rsidP="002232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2232C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oglas za popunjavanje </w:t>
      </w:r>
      <w:bookmarkStart w:id="5" w:name="_Hlk124244275"/>
      <w:r w:rsidRPr="002232C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radnog mjesta rukovodećeg državnog službenika u Državnoj </w:t>
      </w:r>
      <w:r w:rsidR="00215B5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regulativnoj</w:t>
      </w:r>
      <w:r w:rsidRPr="002232C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agenciji za radijacijsku i nuklearnu sigurnost BiH“</w:t>
      </w:r>
    </w:p>
    <w:p w14:paraId="3E0FB404" w14:textId="77777777" w:rsidR="002232C3" w:rsidRPr="00322B65" w:rsidRDefault="002232C3" w:rsidP="002232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6" w:name="_Hlk124254599"/>
      <w:r w:rsidRPr="002232C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Dubrovačka 6, 71000 Sarajevo</w:t>
      </w:r>
    </w:p>
    <w:bookmarkEnd w:id="3"/>
    <w:bookmarkEnd w:id="4"/>
    <w:bookmarkEnd w:id="5"/>
    <w:bookmarkEnd w:id="6"/>
    <w:p w14:paraId="792E2A29" w14:textId="77777777" w:rsidR="00B51273" w:rsidRPr="001C517F" w:rsidRDefault="00B51273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1C517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preslici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koji nisu ovjereni</w:t>
      </w:r>
      <w:r w:rsidRPr="001C517F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D75483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0401A"/>
    <w:rsid w:val="001109C9"/>
    <w:rsid w:val="001517C8"/>
    <w:rsid w:val="001A7723"/>
    <w:rsid w:val="001C517F"/>
    <w:rsid w:val="001D46D9"/>
    <w:rsid w:val="00210A67"/>
    <w:rsid w:val="00215B52"/>
    <w:rsid w:val="002232C3"/>
    <w:rsid w:val="00241601"/>
    <w:rsid w:val="002B085B"/>
    <w:rsid w:val="002B5AF6"/>
    <w:rsid w:val="002D64C2"/>
    <w:rsid w:val="0036286F"/>
    <w:rsid w:val="00363EBA"/>
    <w:rsid w:val="003F626B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7255B"/>
    <w:rsid w:val="00795EF7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A5622"/>
    <w:rsid w:val="00AC689B"/>
    <w:rsid w:val="00B51273"/>
    <w:rsid w:val="00B80EEC"/>
    <w:rsid w:val="00B973E5"/>
    <w:rsid w:val="00BC62E3"/>
    <w:rsid w:val="00D02D0F"/>
    <w:rsid w:val="00D4028F"/>
    <w:rsid w:val="00D4143C"/>
    <w:rsid w:val="00D575B2"/>
    <w:rsid w:val="00D75483"/>
    <w:rsid w:val="00D84E03"/>
    <w:rsid w:val="00D8791D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49</cp:revision>
  <cp:lastPrinted>2023-01-30T10:08:00Z</cp:lastPrinted>
  <dcterms:created xsi:type="dcterms:W3CDTF">2021-11-17T13:06:00Z</dcterms:created>
  <dcterms:modified xsi:type="dcterms:W3CDTF">2023-02-03T14:18:00Z</dcterms:modified>
</cp:coreProperties>
</file>